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9FE83" w14:textId="450AE76C" w:rsidR="00FD6AB9" w:rsidRPr="00C5017B" w:rsidRDefault="00FD6AB9" w:rsidP="00AD30F6">
      <w:pPr>
        <w:pStyle w:val="Heading1"/>
        <w:jc w:val="center"/>
      </w:pPr>
      <w:bookmarkStart w:id="0" w:name="_GoBack"/>
      <w:bookmarkEnd w:id="0"/>
      <w:r w:rsidRPr="00C5017B">
        <w:t xml:space="preserve">YEAR END REPORT </w:t>
      </w:r>
      <w:r w:rsidRPr="00C5017B">
        <w:br/>
        <w:t>Oklahoma Department of Rehabilitation Services</w:t>
      </w:r>
      <w:r w:rsidRPr="00C5017B">
        <w:br/>
        <w:t>from</w:t>
      </w:r>
      <w:r w:rsidR="00C5017B" w:rsidRPr="00C5017B">
        <w:t xml:space="preserve"> Oklahoma ABLE Tech</w:t>
      </w:r>
      <w:r w:rsidR="00C5017B" w:rsidRPr="00C5017B">
        <w:br/>
        <w:t xml:space="preserve">July 1, </w:t>
      </w:r>
      <w:r w:rsidR="005E4714" w:rsidRPr="00C5017B">
        <w:t>20</w:t>
      </w:r>
      <w:r w:rsidR="005E4714">
        <w:t xml:space="preserve">19 </w:t>
      </w:r>
      <w:r w:rsidR="00C5017B" w:rsidRPr="00C5017B">
        <w:t xml:space="preserve">to June 30, </w:t>
      </w:r>
      <w:r w:rsidR="005E4714" w:rsidRPr="00C5017B">
        <w:t>20</w:t>
      </w:r>
      <w:r w:rsidR="005E4714">
        <w:t>20</w:t>
      </w:r>
    </w:p>
    <w:p w14:paraId="1655C900" w14:textId="0BE07C08" w:rsidR="00FD6AB9" w:rsidRPr="003942E8" w:rsidRDefault="00E058D6" w:rsidP="00AD30F6">
      <w:pPr>
        <w:pStyle w:val="Heading2"/>
      </w:pPr>
      <w:r w:rsidRPr="003942E8">
        <w:t>Alternative Financing Program</w:t>
      </w:r>
      <w:r>
        <w:t xml:space="preserve"> Report</w:t>
      </w:r>
    </w:p>
    <w:p w14:paraId="740CBD91" w14:textId="35AB2491" w:rsidR="00FD6AB9" w:rsidRPr="00CB24AB" w:rsidRDefault="00AD30F6" w:rsidP="00CB24AB">
      <w:pPr>
        <w:pStyle w:val="Heading3"/>
      </w:pPr>
      <w:r w:rsidRPr="00CB24AB">
        <w:t>Descriptive Data</w:t>
      </w:r>
    </w:p>
    <w:p w14:paraId="27D16933" w14:textId="77777777" w:rsidR="00FD6AB9" w:rsidRPr="00C5017B" w:rsidRDefault="00FD6AB9" w:rsidP="00AD30F6">
      <w:r w:rsidRPr="00036CB8">
        <w:t>Types</w:t>
      </w:r>
      <w:r w:rsidRPr="00C5017B">
        <w:t xml:space="preserve"> of Alternative Financing Loan Model </w:t>
      </w:r>
    </w:p>
    <w:p w14:paraId="27BD9761" w14:textId="77777777" w:rsidR="00FD6AB9" w:rsidRPr="00AD30F6" w:rsidRDefault="00FD6AB9" w:rsidP="00AD30F6">
      <w:pPr>
        <w:pStyle w:val="ListParagraph"/>
        <w:numPr>
          <w:ilvl w:val="0"/>
          <w:numId w:val="7"/>
        </w:numPr>
        <w:spacing w:after="0"/>
        <w:rPr>
          <w:rFonts w:cstheme="minorHAnsi"/>
          <w:szCs w:val="24"/>
        </w:rPr>
      </w:pPr>
      <w:r w:rsidRPr="00AD30F6">
        <w:rPr>
          <w:rFonts w:cstheme="minorHAnsi"/>
          <w:szCs w:val="24"/>
        </w:rPr>
        <w:t>Direct Loan</w:t>
      </w:r>
    </w:p>
    <w:p w14:paraId="2F653384" w14:textId="77777777" w:rsidR="00FD6AB9" w:rsidRPr="00AD30F6" w:rsidRDefault="00FD6AB9" w:rsidP="00AD30F6">
      <w:pPr>
        <w:pStyle w:val="ListParagraph"/>
        <w:numPr>
          <w:ilvl w:val="0"/>
          <w:numId w:val="7"/>
        </w:numPr>
        <w:spacing w:after="0"/>
        <w:rPr>
          <w:rFonts w:cstheme="minorHAnsi"/>
          <w:szCs w:val="24"/>
        </w:rPr>
      </w:pPr>
      <w:r w:rsidRPr="00AD30F6">
        <w:rPr>
          <w:rFonts w:cstheme="minorHAnsi"/>
          <w:szCs w:val="24"/>
        </w:rPr>
        <w:t xml:space="preserve">Interest Rate Buy-Down Loan </w:t>
      </w:r>
    </w:p>
    <w:p w14:paraId="5876092C" w14:textId="77777777" w:rsidR="00FD6AB9" w:rsidRPr="00AD30F6" w:rsidRDefault="00FD6AB9" w:rsidP="00CB24AB">
      <w:pPr>
        <w:pStyle w:val="ListParagraph"/>
        <w:numPr>
          <w:ilvl w:val="0"/>
          <w:numId w:val="7"/>
        </w:numPr>
        <w:rPr>
          <w:rFonts w:cstheme="minorHAnsi"/>
          <w:szCs w:val="24"/>
        </w:rPr>
      </w:pPr>
      <w:r w:rsidRPr="00AD30F6">
        <w:rPr>
          <w:rFonts w:cstheme="minorHAnsi"/>
          <w:szCs w:val="24"/>
        </w:rPr>
        <w:t xml:space="preserve">Guaranteed/Interest Rate Buy-Down Loan </w:t>
      </w:r>
      <w:r w:rsidRPr="00AD30F6">
        <w:rPr>
          <w:rFonts w:cstheme="minorHAnsi"/>
          <w:b/>
          <w:szCs w:val="24"/>
        </w:rPr>
        <w:tab/>
      </w:r>
    </w:p>
    <w:p w14:paraId="434ABBFE" w14:textId="77777777" w:rsidR="00FD6AB9" w:rsidRPr="003942E8" w:rsidRDefault="00FD6AB9" w:rsidP="00AD30F6">
      <w:r w:rsidRPr="003942E8">
        <w:t xml:space="preserve">Name of Partners </w:t>
      </w:r>
    </w:p>
    <w:p w14:paraId="251AE567" w14:textId="77777777" w:rsidR="00FD6AB9" w:rsidRPr="0091377C" w:rsidRDefault="00FD6AB9" w:rsidP="00AD30F6">
      <w:pPr>
        <w:pStyle w:val="ListParagraph"/>
        <w:numPr>
          <w:ilvl w:val="0"/>
          <w:numId w:val="9"/>
        </w:numPr>
        <w:spacing w:after="0"/>
      </w:pPr>
      <w:r w:rsidRPr="0091377C">
        <w:t>Lead Agency: Oklahoma ABLE Tech</w:t>
      </w:r>
    </w:p>
    <w:p w14:paraId="13DF6A00" w14:textId="77777777" w:rsidR="00FD6AB9" w:rsidRPr="0091377C" w:rsidRDefault="00FD6AB9" w:rsidP="00AD30F6">
      <w:pPr>
        <w:pStyle w:val="ListParagraph"/>
        <w:numPr>
          <w:ilvl w:val="0"/>
          <w:numId w:val="9"/>
        </w:numPr>
        <w:spacing w:after="0"/>
      </w:pPr>
      <w:r w:rsidRPr="0091377C">
        <w:t>Community Based Organization: Oklahoma Assistive Technology Foundation (OkAT)</w:t>
      </w:r>
    </w:p>
    <w:p w14:paraId="7CF243B5" w14:textId="77777777" w:rsidR="00FD6AB9" w:rsidRPr="00C5017B" w:rsidRDefault="00FD6AB9" w:rsidP="00CB24AB">
      <w:pPr>
        <w:pStyle w:val="ListParagraph"/>
        <w:numPr>
          <w:ilvl w:val="0"/>
          <w:numId w:val="9"/>
        </w:numPr>
      </w:pPr>
      <w:r w:rsidRPr="0091377C">
        <w:t>Lending Institutions:</w:t>
      </w:r>
      <w:r w:rsidRPr="00C5017B">
        <w:t xml:space="preserve"> BancFirst of Stillwater</w:t>
      </w:r>
    </w:p>
    <w:p w14:paraId="3EE11D95" w14:textId="71850B5D" w:rsidR="00FD6AB9" w:rsidRPr="00036CB8" w:rsidRDefault="00AD30F6" w:rsidP="00AD30F6">
      <w:pPr>
        <w:rPr>
          <w:rFonts w:cstheme="minorHAnsi"/>
          <w:szCs w:val="24"/>
        </w:rPr>
      </w:pPr>
      <w:r>
        <w:t>Loan Program Features</w:t>
      </w:r>
      <w:r w:rsidR="00CB24AB">
        <w:t xml:space="preserve">: </w:t>
      </w:r>
      <w:r w:rsidR="0097335E" w:rsidRPr="003942E8">
        <w:t>Range of Loan Amounts that program generally provides</w:t>
      </w:r>
      <w:r w:rsidR="0097335E">
        <w:t xml:space="preserve">: </w:t>
      </w:r>
      <w:r w:rsidR="0097335E" w:rsidRPr="00036CB8">
        <w:rPr>
          <w:rFonts w:cstheme="minorHAnsi"/>
          <w:szCs w:val="24"/>
        </w:rPr>
        <w:t>There are no minimum or maximum loan amount restrictions.</w:t>
      </w:r>
      <w:r w:rsidR="00FD6AB9" w:rsidRPr="00036CB8">
        <w:rPr>
          <w:rFonts w:cstheme="minorHAnsi"/>
          <w:szCs w:val="24"/>
        </w:rPr>
        <w:t xml:space="preserve"> </w:t>
      </w:r>
      <w:r w:rsidR="00594792">
        <w:rPr>
          <w:rFonts w:cstheme="minorHAnsi"/>
          <w:szCs w:val="24"/>
        </w:rPr>
        <w:t xml:space="preserve">Loans </w:t>
      </w:r>
      <w:r w:rsidR="009B20DC">
        <w:rPr>
          <w:rFonts w:cstheme="minorHAnsi"/>
          <w:szCs w:val="24"/>
        </w:rPr>
        <w:t>for the past year ranged from $</w:t>
      </w:r>
      <w:r w:rsidR="007303DE">
        <w:rPr>
          <w:rFonts w:cstheme="minorHAnsi"/>
          <w:szCs w:val="24"/>
        </w:rPr>
        <w:t>190</w:t>
      </w:r>
      <w:r w:rsidR="009B20DC">
        <w:rPr>
          <w:rFonts w:cstheme="minorHAnsi"/>
          <w:szCs w:val="24"/>
        </w:rPr>
        <w:t xml:space="preserve"> to $</w:t>
      </w:r>
      <w:r w:rsidR="007303DE">
        <w:rPr>
          <w:rFonts w:cstheme="minorHAnsi"/>
          <w:szCs w:val="24"/>
        </w:rPr>
        <w:t>35,138</w:t>
      </w:r>
      <w:r w:rsidR="009B20DC">
        <w:rPr>
          <w:rFonts w:cstheme="minorHAnsi"/>
          <w:szCs w:val="24"/>
        </w:rPr>
        <w:t xml:space="preserve"> with an average loan size of </w:t>
      </w:r>
      <w:r w:rsidR="00DC40C9">
        <w:rPr>
          <w:rFonts w:cstheme="minorHAnsi"/>
          <w:szCs w:val="24"/>
        </w:rPr>
        <w:t>$</w:t>
      </w:r>
      <w:r w:rsidR="007303DE">
        <w:rPr>
          <w:rFonts w:cstheme="minorHAnsi"/>
          <w:szCs w:val="24"/>
        </w:rPr>
        <w:t>4,530</w:t>
      </w:r>
      <w:r w:rsidR="00DC40C9">
        <w:rPr>
          <w:rFonts w:cstheme="minorHAnsi"/>
          <w:szCs w:val="24"/>
        </w:rPr>
        <w:t xml:space="preserve">.  </w:t>
      </w:r>
    </w:p>
    <w:p w14:paraId="65F52110" w14:textId="76ED2043" w:rsidR="00FD6AB9" w:rsidRPr="00036CB8" w:rsidRDefault="00FD6AB9" w:rsidP="00AD30F6">
      <w:pPr>
        <w:tabs>
          <w:tab w:val="center" w:pos="4680"/>
        </w:tabs>
        <w:rPr>
          <w:rFonts w:cstheme="minorHAnsi"/>
          <w:bCs/>
          <w:szCs w:val="24"/>
        </w:rPr>
      </w:pPr>
      <w:r w:rsidRPr="003942E8">
        <w:t>Interest rates provided to borrower</w:t>
      </w:r>
      <w:r w:rsidR="00AD30F6">
        <w:t xml:space="preserve">: </w:t>
      </w:r>
      <w:r w:rsidRPr="00036CB8">
        <w:rPr>
          <w:rFonts w:cstheme="minorHAnsi"/>
          <w:bCs/>
          <w:szCs w:val="24"/>
        </w:rPr>
        <w:t>All loans had an interest rate of 5</w:t>
      </w:r>
      <w:r w:rsidRPr="00036CB8">
        <w:rPr>
          <w:rFonts w:cstheme="minorHAnsi"/>
          <w:b/>
          <w:bCs/>
          <w:szCs w:val="24"/>
        </w:rPr>
        <w:t>%</w:t>
      </w:r>
      <w:r w:rsidRPr="00036CB8">
        <w:rPr>
          <w:rFonts w:cstheme="minorHAnsi"/>
          <w:bCs/>
          <w:szCs w:val="24"/>
        </w:rPr>
        <w:t xml:space="preserve"> fixed over the term of </w:t>
      </w:r>
      <w:r w:rsidR="00C7560D" w:rsidRPr="00036CB8">
        <w:rPr>
          <w:rFonts w:cstheme="minorHAnsi"/>
          <w:bCs/>
          <w:szCs w:val="24"/>
        </w:rPr>
        <w:t xml:space="preserve">the loan. </w:t>
      </w:r>
      <w:r w:rsidRPr="00036CB8">
        <w:rPr>
          <w:rFonts w:cstheme="minorHAnsi"/>
          <w:bCs/>
          <w:szCs w:val="24"/>
        </w:rPr>
        <w:t>OkAT bought down the interest rate</w:t>
      </w:r>
      <w:r w:rsidR="00770FDD">
        <w:rPr>
          <w:rFonts w:cstheme="minorHAnsi"/>
          <w:bCs/>
          <w:szCs w:val="24"/>
        </w:rPr>
        <w:t xml:space="preserve"> </w:t>
      </w:r>
      <w:r w:rsidR="00072B70">
        <w:rPr>
          <w:rFonts w:cstheme="minorHAnsi"/>
          <w:bCs/>
          <w:szCs w:val="24"/>
        </w:rPr>
        <w:t>for BancFirst loans</w:t>
      </w:r>
      <w:r w:rsidRPr="00036CB8">
        <w:rPr>
          <w:rFonts w:cstheme="minorHAnsi"/>
          <w:bCs/>
          <w:szCs w:val="24"/>
        </w:rPr>
        <w:t xml:space="preserve"> from </w:t>
      </w:r>
      <w:r w:rsidRPr="00FD0D53">
        <w:rPr>
          <w:rFonts w:cstheme="minorHAnsi"/>
          <w:b/>
          <w:bCs/>
          <w:szCs w:val="24"/>
        </w:rPr>
        <w:t>7.</w:t>
      </w:r>
      <w:r w:rsidR="005E4714" w:rsidRPr="00FD0D53">
        <w:rPr>
          <w:rFonts w:cstheme="minorHAnsi"/>
          <w:b/>
          <w:bCs/>
          <w:szCs w:val="24"/>
        </w:rPr>
        <w:t>7</w:t>
      </w:r>
      <w:r w:rsidRPr="00FD0D53">
        <w:rPr>
          <w:rFonts w:cstheme="minorHAnsi"/>
          <w:b/>
          <w:bCs/>
          <w:szCs w:val="24"/>
        </w:rPr>
        <w:t>5%</w:t>
      </w:r>
      <w:r w:rsidRPr="00036CB8">
        <w:rPr>
          <w:rFonts w:cstheme="minorHAnsi"/>
          <w:bCs/>
          <w:szCs w:val="24"/>
        </w:rPr>
        <w:t xml:space="preserve"> for secured</w:t>
      </w:r>
      <w:r w:rsidR="00DC40C9">
        <w:rPr>
          <w:rFonts w:cstheme="minorHAnsi"/>
          <w:bCs/>
          <w:szCs w:val="24"/>
        </w:rPr>
        <w:t xml:space="preserve">/guaranteed </w:t>
      </w:r>
      <w:r w:rsidRPr="00036CB8">
        <w:rPr>
          <w:rFonts w:cstheme="minorHAnsi"/>
          <w:bCs/>
          <w:szCs w:val="24"/>
        </w:rPr>
        <w:t>loans and</w:t>
      </w:r>
      <w:r w:rsidR="00DC40C9">
        <w:rPr>
          <w:rFonts w:cstheme="minorHAnsi"/>
          <w:bCs/>
          <w:szCs w:val="24"/>
        </w:rPr>
        <w:t xml:space="preserve"> from</w:t>
      </w:r>
      <w:r w:rsidRPr="00036CB8">
        <w:rPr>
          <w:rFonts w:cstheme="minorHAnsi"/>
          <w:bCs/>
          <w:szCs w:val="24"/>
        </w:rPr>
        <w:t xml:space="preserve"> </w:t>
      </w:r>
      <w:r w:rsidRPr="00FD0D53">
        <w:rPr>
          <w:rFonts w:cstheme="minorHAnsi"/>
          <w:b/>
          <w:bCs/>
          <w:szCs w:val="24"/>
        </w:rPr>
        <w:t>9.</w:t>
      </w:r>
      <w:r w:rsidR="005E4714" w:rsidRPr="00FD0D53">
        <w:rPr>
          <w:rFonts w:cstheme="minorHAnsi"/>
          <w:b/>
          <w:bCs/>
          <w:szCs w:val="24"/>
        </w:rPr>
        <w:t>7</w:t>
      </w:r>
      <w:r w:rsidRPr="00FD0D53">
        <w:rPr>
          <w:rFonts w:cstheme="minorHAnsi"/>
          <w:b/>
          <w:bCs/>
          <w:szCs w:val="24"/>
        </w:rPr>
        <w:t>5%</w:t>
      </w:r>
      <w:r w:rsidRPr="00036CB8">
        <w:rPr>
          <w:rFonts w:cstheme="minorHAnsi"/>
          <w:bCs/>
          <w:szCs w:val="24"/>
        </w:rPr>
        <w:t xml:space="preserve"> for unsecured loans.</w:t>
      </w:r>
    </w:p>
    <w:p w14:paraId="5B92652C" w14:textId="13115E78" w:rsidR="00FD6AB9" w:rsidRPr="00036CB8" w:rsidRDefault="00FD6AB9" w:rsidP="00AD30F6">
      <w:pPr>
        <w:rPr>
          <w:rFonts w:cstheme="minorHAnsi"/>
          <w:bCs/>
          <w:szCs w:val="24"/>
        </w:rPr>
      </w:pPr>
      <w:r w:rsidRPr="0091377C">
        <w:t>Repayment terms that program generally provides</w:t>
      </w:r>
      <w:r w:rsidR="00AD30F6">
        <w:t xml:space="preserve">: The program generally offers 12-36 months for unsecured loans; up to 60 months for secured loans. Shortest loan term was </w:t>
      </w:r>
      <w:r w:rsidR="00AD30F6" w:rsidRPr="00FD0D53">
        <w:rPr>
          <w:b/>
        </w:rPr>
        <w:t>3 months</w:t>
      </w:r>
      <w:r w:rsidR="00AD30F6">
        <w:t>.</w:t>
      </w:r>
    </w:p>
    <w:p w14:paraId="3A9E89C7" w14:textId="62F53D28" w:rsidR="00FD6AB9" w:rsidRPr="00036CB8" w:rsidRDefault="00C5017B" w:rsidP="00AD30F6">
      <w:pPr>
        <w:tabs>
          <w:tab w:val="left" w:pos="2745"/>
        </w:tabs>
        <w:spacing w:line="240" w:lineRule="auto"/>
        <w:rPr>
          <w:rFonts w:cstheme="minorHAnsi"/>
          <w:b/>
          <w:szCs w:val="24"/>
        </w:rPr>
      </w:pPr>
      <w:r w:rsidRPr="0091377C">
        <w:t>T</w:t>
      </w:r>
      <w:r w:rsidR="00FD6AB9" w:rsidRPr="0091377C">
        <w:t>otal loan f</w:t>
      </w:r>
      <w:r w:rsidR="00C7560D" w:rsidRPr="0091377C">
        <w:t xml:space="preserve">und capacity as of June 30, </w:t>
      </w:r>
      <w:r w:rsidR="00583BA6" w:rsidRPr="0091377C">
        <w:t>20</w:t>
      </w:r>
      <w:r w:rsidR="00583BA6">
        <w:t>20</w:t>
      </w:r>
      <w:r w:rsidR="00AD30F6">
        <w:t xml:space="preserve">: </w:t>
      </w:r>
      <w:r w:rsidR="00FD6AB9" w:rsidRPr="00036CB8">
        <w:rPr>
          <w:rFonts w:cstheme="minorHAnsi"/>
          <w:szCs w:val="24"/>
        </w:rPr>
        <w:t xml:space="preserve">Total dollars available for closing new </w:t>
      </w:r>
      <w:r w:rsidR="00072B70">
        <w:rPr>
          <w:rFonts w:cstheme="minorHAnsi"/>
          <w:szCs w:val="24"/>
        </w:rPr>
        <w:t xml:space="preserve">loans is </w:t>
      </w:r>
      <w:r w:rsidR="00FC6B78" w:rsidRPr="0097335E">
        <w:rPr>
          <w:rFonts w:cstheme="minorHAnsi"/>
          <w:b/>
          <w:szCs w:val="24"/>
        </w:rPr>
        <w:t>$</w:t>
      </w:r>
      <w:r w:rsidR="00957E34" w:rsidRPr="0097335E">
        <w:rPr>
          <w:rFonts w:cstheme="minorHAnsi"/>
          <w:b/>
          <w:szCs w:val="24"/>
        </w:rPr>
        <w:t>1,282,996</w:t>
      </w:r>
      <w:r w:rsidR="00957E34">
        <w:rPr>
          <w:rFonts w:cstheme="minorHAnsi"/>
          <w:szCs w:val="24"/>
        </w:rPr>
        <w:t>.</w:t>
      </w:r>
    </w:p>
    <w:p w14:paraId="192326BB" w14:textId="2D5ACCD4" w:rsidR="00FD6AB9" w:rsidRPr="00036CB8" w:rsidRDefault="00FD6AB9" w:rsidP="00AD30F6">
      <w:pPr>
        <w:rPr>
          <w:rFonts w:cstheme="minorHAnsi"/>
          <w:szCs w:val="24"/>
        </w:rPr>
      </w:pPr>
      <w:r w:rsidRPr="0091377C">
        <w:t>Restrictions on Types of Devices Purchased</w:t>
      </w:r>
      <w:r w:rsidR="00AD30F6">
        <w:t xml:space="preserve">: </w:t>
      </w:r>
      <w:r w:rsidRPr="00036CB8">
        <w:rPr>
          <w:rFonts w:cstheme="minorHAnsi"/>
          <w:szCs w:val="24"/>
        </w:rPr>
        <w:t xml:space="preserve">The loan program does not restrict the type of AT a borrower can purchase. </w:t>
      </w:r>
    </w:p>
    <w:p w14:paraId="127E1236" w14:textId="2CB18620" w:rsidR="007A3AAC" w:rsidRDefault="00FD6AB9" w:rsidP="007A3AAC">
      <w:pPr>
        <w:pStyle w:val="Heading3"/>
      </w:pPr>
      <w:r w:rsidRPr="0089137B">
        <w:rPr>
          <w:bCs/>
        </w:rPr>
        <w:lastRenderedPageBreak/>
        <w:t>P</w:t>
      </w:r>
      <w:r w:rsidR="007A3AAC" w:rsidRPr="0089137B">
        <w:rPr>
          <w:bCs/>
        </w:rPr>
        <w:t>ortfolio</w:t>
      </w:r>
      <w:r w:rsidRPr="0089137B">
        <w:rPr>
          <w:bCs/>
        </w:rPr>
        <w:t xml:space="preserve"> P</w:t>
      </w:r>
      <w:r w:rsidR="007A3AAC" w:rsidRPr="0089137B">
        <w:rPr>
          <w:bCs/>
        </w:rPr>
        <w:t>erformance</w:t>
      </w:r>
      <w:r w:rsidRPr="0089137B">
        <w:rPr>
          <w:bCs/>
        </w:rPr>
        <w:t xml:space="preserve"> - </w:t>
      </w:r>
      <w:r w:rsidR="007A3AAC" w:rsidRPr="0089137B">
        <w:t xml:space="preserve">Alternative Financing Program </w:t>
      </w:r>
      <w:r w:rsidR="007A3AAC">
        <w:t>(AFP)</w:t>
      </w:r>
    </w:p>
    <w:p w14:paraId="3B6AB4C8" w14:textId="62796A44" w:rsidR="007A3AAC" w:rsidRPr="00E058D6" w:rsidRDefault="00FD6AB9" w:rsidP="00C6284B">
      <w:pPr>
        <w:pStyle w:val="ListParagraph"/>
        <w:numPr>
          <w:ilvl w:val="0"/>
          <w:numId w:val="12"/>
        </w:numPr>
        <w:spacing w:after="0"/>
        <w:rPr>
          <w:rFonts w:cstheme="minorHAnsi"/>
          <w:b/>
        </w:rPr>
      </w:pPr>
      <w:r w:rsidRPr="00E058D6">
        <w:rPr>
          <w:rFonts w:cstheme="minorHAnsi"/>
          <w:b/>
        </w:rPr>
        <w:t>Outstanding loans, for which the principal was not p</w:t>
      </w:r>
      <w:r w:rsidR="0089137B" w:rsidRPr="00E058D6">
        <w:rPr>
          <w:rFonts w:cstheme="minorHAnsi"/>
          <w:b/>
        </w:rPr>
        <w:t xml:space="preserve">aid in full, as of June 30, </w:t>
      </w:r>
      <w:r w:rsidR="00E601D5" w:rsidRPr="00E058D6">
        <w:rPr>
          <w:rFonts w:cstheme="minorHAnsi"/>
          <w:b/>
        </w:rPr>
        <w:t>2020</w:t>
      </w:r>
      <w:r w:rsidRPr="00E058D6">
        <w:rPr>
          <w:rFonts w:cstheme="minorHAnsi"/>
          <w:b/>
        </w:rPr>
        <w:t xml:space="preserve">, of Guaranteed and Direct loans for which the </w:t>
      </w:r>
      <w:r w:rsidR="007A3AAC" w:rsidRPr="00E058D6">
        <w:rPr>
          <w:rFonts w:cstheme="minorHAnsi"/>
          <w:b/>
        </w:rPr>
        <w:t>loan program could incur losses:</w:t>
      </w:r>
    </w:p>
    <w:tbl>
      <w:tblPr>
        <w:tblStyle w:val="GridTable1Light"/>
        <w:tblW w:w="0" w:type="auto"/>
        <w:tblInd w:w="715" w:type="dxa"/>
        <w:tblLook w:val="04A0" w:firstRow="1" w:lastRow="0" w:firstColumn="1" w:lastColumn="0" w:noHBand="0" w:noVBand="1"/>
        <w:tblDescription w:val="type of loans, number of loans and oustanding principal balance"/>
      </w:tblPr>
      <w:tblGrid>
        <w:gridCol w:w="2610"/>
        <w:gridCol w:w="2340"/>
        <w:gridCol w:w="3685"/>
      </w:tblGrid>
      <w:tr w:rsidR="007A3AAC" w14:paraId="1B3C1BBE" w14:textId="77777777" w:rsidTr="009E0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B6F1104" w14:textId="698DBCAD" w:rsidR="007A3AAC" w:rsidRPr="00677F41" w:rsidRDefault="00FD6AB9" w:rsidP="009E03B3">
            <w:pPr>
              <w:rPr>
                <w:rFonts w:cstheme="majorHAnsi"/>
                <w:b w:val="0"/>
              </w:rPr>
            </w:pPr>
            <w:r w:rsidRPr="007A3AAC">
              <w:rPr>
                <w:rFonts w:cstheme="minorHAnsi"/>
              </w:rPr>
              <w:t xml:space="preserve"> </w:t>
            </w:r>
            <w:r w:rsidR="007A3AAC" w:rsidRPr="00677F41">
              <w:rPr>
                <w:rFonts w:cstheme="majorHAnsi"/>
                <w:b w:val="0"/>
              </w:rPr>
              <w:t>Type of Loan</w:t>
            </w:r>
          </w:p>
        </w:tc>
        <w:tc>
          <w:tcPr>
            <w:tcW w:w="2340" w:type="dxa"/>
          </w:tcPr>
          <w:p w14:paraId="5EEC9607" w14:textId="77777777" w:rsidR="007A3AAC" w:rsidRPr="00677F41" w:rsidRDefault="007A3AAC" w:rsidP="009E03B3">
            <w:pPr>
              <w:cnfStyle w:val="100000000000" w:firstRow="1" w:lastRow="0" w:firstColumn="0" w:lastColumn="0" w:oddVBand="0" w:evenVBand="0" w:oddHBand="0" w:evenHBand="0" w:firstRowFirstColumn="0" w:firstRowLastColumn="0" w:lastRowFirstColumn="0" w:lastRowLastColumn="0"/>
              <w:rPr>
                <w:rFonts w:cstheme="majorHAnsi"/>
                <w:b w:val="0"/>
              </w:rPr>
            </w:pPr>
            <w:r w:rsidRPr="00677F41">
              <w:rPr>
                <w:rFonts w:cstheme="majorHAnsi"/>
                <w:b w:val="0"/>
              </w:rPr>
              <w:t>Number of Loans</w:t>
            </w:r>
          </w:p>
        </w:tc>
        <w:tc>
          <w:tcPr>
            <w:tcW w:w="3685" w:type="dxa"/>
          </w:tcPr>
          <w:p w14:paraId="354460A3" w14:textId="77777777" w:rsidR="007A3AAC" w:rsidRPr="00677F41" w:rsidRDefault="007A3AAC" w:rsidP="009E03B3">
            <w:pPr>
              <w:cnfStyle w:val="100000000000" w:firstRow="1" w:lastRow="0" w:firstColumn="0" w:lastColumn="0" w:oddVBand="0" w:evenVBand="0" w:oddHBand="0" w:evenHBand="0" w:firstRowFirstColumn="0" w:firstRowLastColumn="0" w:lastRowFirstColumn="0" w:lastRowLastColumn="0"/>
              <w:rPr>
                <w:rFonts w:cstheme="majorHAnsi"/>
                <w:b w:val="0"/>
              </w:rPr>
            </w:pPr>
            <w:r w:rsidRPr="00677F41">
              <w:rPr>
                <w:rFonts w:cstheme="majorHAnsi"/>
                <w:b w:val="0"/>
              </w:rPr>
              <w:t>Outstanding Principal Balance</w:t>
            </w:r>
          </w:p>
        </w:tc>
      </w:tr>
      <w:tr w:rsidR="007A3AAC" w14:paraId="600D8A39" w14:textId="77777777" w:rsidTr="009E0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C010949" w14:textId="77777777" w:rsidR="007A3AAC" w:rsidRPr="00677F41" w:rsidRDefault="007A3AAC" w:rsidP="009E03B3">
            <w:pPr>
              <w:rPr>
                <w:rFonts w:cstheme="majorHAnsi"/>
              </w:rPr>
            </w:pPr>
            <w:r w:rsidRPr="00677F41">
              <w:rPr>
                <w:rFonts w:cstheme="majorHAnsi"/>
              </w:rPr>
              <w:t>Guaranty Loans</w:t>
            </w:r>
          </w:p>
        </w:tc>
        <w:tc>
          <w:tcPr>
            <w:tcW w:w="2340" w:type="dxa"/>
          </w:tcPr>
          <w:p w14:paraId="7ECE175F" w14:textId="4FAE19DE" w:rsidR="007A3AAC" w:rsidRPr="00677F41" w:rsidRDefault="007A3AAC" w:rsidP="007A3AAC">
            <w:pPr>
              <w:jc w:val="center"/>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131</w:t>
            </w:r>
          </w:p>
        </w:tc>
        <w:tc>
          <w:tcPr>
            <w:tcW w:w="3685" w:type="dxa"/>
          </w:tcPr>
          <w:p w14:paraId="4363A068" w14:textId="6E9408A7" w:rsidR="007A3AAC" w:rsidRPr="00677F41" w:rsidRDefault="007A3AAC" w:rsidP="009E03B3">
            <w:pPr>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$707,263</w:t>
            </w:r>
          </w:p>
        </w:tc>
      </w:tr>
      <w:tr w:rsidR="007A3AAC" w14:paraId="4E530CF0" w14:textId="77777777" w:rsidTr="009E0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027CA1C0" w14:textId="77777777" w:rsidR="007A3AAC" w:rsidRPr="00677F41" w:rsidRDefault="007A3AAC" w:rsidP="009E03B3">
            <w:pPr>
              <w:rPr>
                <w:rFonts w:cstheme="majorHAnsi"/>
              </w:rPr>
            </w:pPr>
            <w:r w:rsidRPr="00677F41">
              <w:rPr>
                <w:rFonts w:cstheme="majorHAnsi"/>
              </w:rPr>
              <w:t>Direct Loans</w:t>
            </w:r>
          </w:p>
        </w:tc>
        <w:tc>
          <w:tcPr>
            <w:tcW w:w="2340" w:type="dxa"/>
          </w:tcPr>
          <w:p w14:paraId="0255EB97" w14:textId="18228E7D" w:rsidR="007A3AAC" w:rsidRPr="00677F41" w:rsidRDefault="007A3AAC" w:rsidP="007A3AAC">
            <w:pPr>
              <w:jc w:val="center"/>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253</w:t>
            </w:r>
          </w:p>
        </w:tc>
        <w:tc>
          <w:tcPr>
            <w:tcW w:w="3685" w:type="dxa"/>
          </w:tcPr>
          <w:p w14:paraId="353BB31C" w14:textId="00B1BD12" w:rsidR="007A3AAC" w:rsidRPr="00677F41" w:rsidRDefault="007A3AAC" w:rsidP="009E03B3">
            <w:pPr>
              <w:cnfStyle w:val="100000000000" w:firstRow="1" w:lastRow="0" w:firstColumn="0" w:lastColumn="0" w:oddVBand="0" w:evenVBand="0" w:oddHBand="0" w:evenHBand="0" w:firstRowFirstColumn="0" w:firstRowLastColumn="0" w:lastRowFirstColumn="0" w:lastRowLastColumn="0"/>
              <w:rPr>
                <w:rFonts w:cstheme="majorHAnsi"/>
              </w:rPr>
            </w:pPr>
            <w:r>
              <w:rPr>
                <w:rFonts w:cstheme="majorHAnsi"/>
              </w:rPr>
              <w:t>$618,695</w:t>
            </w:r>
          </w:p>
        </w:tc>
      </w:tr>
      <w:tr w:rsidR="007A3AAC" w14:paraId="26C087D6" w14:textId="77777777" w:rsidTr="009E03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324283B" w14:textId="77777777" w:rsidR="007A3AAC" w:rsidRPr="00677F41" w:rsidRDefault="007A3AAC" w:rsidP="009E03B3">
            <w:pPr>
              <w:rPr>
                <w:rFonts w:cstheme="majorHAnsi"/>
                <w:b w:val="0"/>
              </w:rPr>
            </w:pPr>
            <w:r w:rsidRPr="00677F41">
              <w:rPr>
                <w:rFonts w:cstheme="majorHAnsi"/>
                <w:b w:val="0"/>
              </w:rPr>
              <w:t xml:space="preserve">Total </w:t>
            </w:r>
          </w:p>
        </w:tc>
        <w:tc>
          <w:tcPr>
            <w:tcW w:w="2340" w:type="dxa"/>
          </w:tcPr>
          <w:p w14:paraId="7D283F7D" w14:textId="5A941CAC" w:rsidR="007A3AAC" w:rsidRPr="00677F41" w:rsidRDefault="007A3AAC" w:rsidP="007A3AAC">
            <w:pPr>
              <w:jc w:val="center"/>
              <w:cnfStyle w:val="100000000000" w:firstRow="1" w:lastRow="0" w:firstColumn="0" w:lastColumn="0" w:oddVBand="0" w:evenVBand="0" w:oddHBand="0" w:evenHBand="0" w:firstRowFirstColumn="0" w:firstRowLastColumn="0" w:lastRowFirstColumn="0" w:lastRowLastColumn="0"/>
              <w:rPr>
                <w:rFonts w:cstheme="majorHAnsi"/>
                <w:b w:val="0"/>
              </w:rPr>
            </w:pPr>
            <w:r>
              <w:rPr>
                <w:rFonts w:cstheme="majorHAnsi"/>
                <w:b w:val="0"/>
              </w:rPr>
              <w:t>384</w:t>
            </w:r>
          </w:p>
        </w:tc>
        <w:tc>
          <w:tcPr>
            <w:tcW w:w="3685" w:type="dxa"/>
          </w:tcPr>
          <w:p w14:paraId="0C18995F" w14:textId="1B5644BE" w:rsidR="007A3AAC" w:rsidRPr="00677F41" w:rsidRDefault="007A3AAC" w:rsidP="009E03B3">
            <w:pPr>
              <w:cnfStyle w:val="100000000000" w:firstRow="1" w:lastRow="0" w:firstColumn="0" w:lastColumn="0" w:oddVBand="0" w:evenVBand="0" w:oddHBand="0" w:evenHBand="0" w:firstRowFirstColumn="0" w:firstRowLastColumn="0" w:lastRowFirstColumn="0" w:lastRowLastColumn="0"/>
              <w:rPr>
                <w:rFonts w:cstheme="majorHAnsi"/>
                <w:b w:val="0"/>
              </w:rPr>
            </w:pPr>
            <w:r>
              <w:rPr>
                <w:rFonts w:cstheme="majorHAnsi"/>
                <w:b w:val="0"/>
              </w:rPr>
              <w:t>$</w:t>
            </w:r>
            <w:r w:rsidRPr="007A3AAC">
              <w:rPr>
                <w:rFonts w:cstheme="majorHAnsi"/>
                <w:b w:val="0"/>
              </w:rPr>
              <w:t>1</w:t>
            </w:r>
            <w:r>
              <w:rPr>
                <w:rFonts w:cstheme="majorHAnsi"/>
                <w:b w:val="0"/>
              </w:rPr>
              <w:t>,</w:t>
            </w:r>
            <w:r w:rsidRPr="007A3AAC">
              <w:rPr>
                <w:rFonts w:cstheme="majorHAnsi"/>
                <w:b w:val="0"/>
              </w:rPr>
              <w:t>325</w:t>
            </w:r>
            <w:r>
              <w:rPr>
                <w:rFonts w:cstheme="majorHAnsi"/>
                <w:b w:val="0"/>
              </w:rPr>
              <w:t>,</w:t>
            </w:r>
            <w:r w:rsidRPr="007A3AAC">
              <w:rPr>
                <w:rFonts w:cstheme="majorHAnsi"/>
                <w:b w:val="0"/>
              </w:rPr>
              <w:t>958</w:t>
            </w:r>
          </w:p>
        </w:tc>
      </w:tr>
    </w:tbl>
    <w:p w14:paraId="109F7AD1" w14:textId="06819755" w:rsidR="00FD6AB9" w:rsidRPr="007A3AAC" w:rsidRDefault="00FD6AB9" w:rsidP="007A3AAC">
      <w:pPr>
        <w:spacing w:after="0"/>
        <w:rPr>
          <w:rFonts w:cstheme="minorHAnsi"/>
          <w:b/>
        </w:rPr>
      </w:pPr>
    </w:p>
    <w:p w14:paraId="69AB6412" w14:textId="50C0BDC2" w:rsidR="00FD6AB9" w:rsidRPr="00E058D6" w:rsidRDefault="00FD6AB9" w:rsidP="00E058D6">
      <w:pPr>
        <w:pStyle w:val="ListParagraph"/>
        <w:numPr>
          <w:ilvl w:val="0"/>
          <w:numId w:val="12"/>
        </w:numPr>
        <w:rPr>
          <w:rFonts w:asciiTheme="majorHAnsi" w:hAnsiTheme="majorHAnsi" w:cstheme="majorHAnsi"/>
          <w:b/>
        </w:rPr>
      </w:pPr>
      <w:r w:rsidRPr="00E058D6">
        <w:rPr>
          <w:rFonts w:cstheme="minorHAnsi"/>
          <w:b/>
        </w:rPr>
        <w:t xml:space="preserve">Losses this past year as from July 1, </w:t>
      </w:r>
      <w:r w:rsidR="00D10780" w:rsidRPr="00E058D6">
        <w:rPr>
          <w:rFonts w:cstheme="minorHAnsi"/>
          <w:b/>
        </w:rPr>
        <w:t>2019</w:t>
      </w:r>
      <w:r w:rsidR="007A2C72" w:rsidRPr="00E058D6">
        <w:rPr>
          <w:rFonts w:cstheme="minorHAnsi"/>
          <w:b/>
        </w:rPr>
        <w:t xml:space="preserve"> </w:t>
      </w:r>
      <w:r w:rsidR="0089137B" w:rsidRPr="00E058D6">
        <w:rPr>
          <w:rFonts w:cstheme="minorHAnsi"/>
          <w:b/>
        </w:rPr>
        <w:t xml:space="preserve">to June 30, </w:t>
      </w:r>
      <w:r w:rsidR="00D10780" w:rsidRPr="00E058D6">
        <w:rPr>
          <w:rFonts w:cstheme="minorHAnsi"/>
          <w:b/>
        </w:rPr>
        <w:t>2020</w:t>
      </w:r>
    </w:p>
    <w:p w14:paraId="6F2AEC10" w14:textId="6F522C36" w:rsidR="00FD6AB9" w:rsidRPr="00036CB8" w:rsidRDefault="00FD6AB9" w:rsidP="0097335E">
      <w:pPr>
        <w:ind w:left="720"/>
        <w:rPr>
          <w:rFonts w:cstheme="minorHAnsi"/>
          <w:szCs w:val="24"/>
        </w:rPr>
      </w:pPr>
      <w:r w:rsidRPr="00036CB8">
        <w:rPr>
          <w:rFonts w:cstheme="minorHAnsi"/>
          <w:szCs w:val="24"/>
        </w:rPr>
        <w:t>Total dollar amount of net losses (money lost on direct loans and guarantee payouts minus recoveries from collateral)</w:t>
      </w:r>
      <w:r w:rsidR="007303DE">
        <w:rPr>
          <w:rFonts w:cstheme="minorHAnsi"/>
          <w:szCs w:val="24"/>
        </w:rPr>
        <w:t>:</w:t>
      </w:r>
      <w:r w:rsidRPr="00036CB8">
        <w:rPr>
          <w:rFonts w:cstheme="minorHAnsi"/>
          <w:szCs w:val="24"/>
        </w:rPr>
        <w:t xml:space="preserve"> </w:t>
      </w:r>
      <w:r w:rsidR="0089137B">
        <w:rPr>
          <w:rFonts w:cstheme="minorHAnsi"/>
          <w:b/>
          <w:szCs w:val="24"/>
        </w:rPr>
        <w:t>$</w:t>
      </w:r>
      <w:r w:rsidR="006A0B5A">
        <w:rPr>
          <w:rFonts w:cstheme="minorHAnsi"/>
          <w:b/>
          <w:szCs w:val="24"/>
        </w:rPr>
        <w:t>41,112</w:t>
      </w:r>
    </w:p>
    <w:p w14:paraId="5CAF26BC" w14:textId="4E2742D8" w:rsidR="00FD6AB9" w:rsidRPr="00036CB8" w:rsidRDefault="00FD6AB9" w:rsidP="0097335E">
      <w:pPr>
        <w:ind w:left="720"/>
        <w:rPr>
          <w:rFonts w:cstheme="minorHAnsi"/>
          <w:b/>
          <w:szCs w:val="24"/>
        </w:rPr>
      </w:pPr>
      <w:r w:rsidRPr="00036CB8">
        <w:rPr>
          <w:rFonts w:cstheme="minorHAnsi"/>
          <w:szCs w:val="24"/>
        </w:rPr>
        <w:t>Number of loa</w:t>
      </w:r>
      <w:r w:rsidR="0089137B">
        <w:rPr>
          <w:rFonts w:cstheme="minorHAnsi"/>
          <w:szCs w:val="24"/>
        </w:rPr>
        <w:t xml:space="preserve">ns defaulted as of June 30, </w:t>
      </w:r>
      <w:r w:rsidR="00D10780">
        <w:rPr>
          <w:rFonts w:cstheme="minorHAnsi"/>
          <w:szCs w:val="24"/>
        </w:rPr>
        <w:t>2020</w:t>
      </w:r>
      <w:r w:rsidRPr="00036CB8">
        <w:rPr>
          <w:rFonts w:cstheme="minorHAnsi"/>
          <w:szCs w:val="24"/>
        </w:rPr>
        <w:t xml:space="preserve">: </w:t>
      </w:r>
      <w:r w:rsidR="006A0B5A">
        <w:rPr>
          <w:rFonts w:cstheme="minorHAnsi"/>
          <w:b/>
          <w:szCs w:val="24"/>
        </w:rPr>
        <w:t>16</w:t>
      </w:r>
    </w:p>
    <w:p w14:paraId="466DDD21" w14:textId="32B9565D" w:rsidR="00FD6AB9" w:rsidRPr="00E058D6" w:rsidRDefault="00FD6AB9" w:rsidP="00E058D6">
      <w:pPr>
        <w:pStyle w:val="ListParagraph"/>
        <w:numPr>
          <w:ilvl w:val="0"/>
          <w:numId w:val="12"/>
        </w:numPr>
        <w:rPr>
          <w:rFonts w:cstheme="minorHAnsi"/>
          <w:b/>
        </w:rPr>
      </w:pPr>
      <w:r w:rsidRPr="00E058D6">
        <w:rPr>
          <w:rFonts w:cstheme="minorHAnsi"/>
          <w:b/>
        </w:rPr>
        <w:t>Outstanding loans, for which the principal was not paid in full, a</w:t>
      </w:r>
      <w:r w:rsidR="00036CB8" w:rsidRPr="00E058D6">
        <w:rPr>
          <w:rFonts w:cstheme="minorHAnsi"/>
          <w:b/>
        </w:rPr>
        <w:t xml:space="preserve">s of June 30, </w:t>
      </w:r>
      <w:r w:rsidR="00D10780" w:rsidRPr="00E058D6">
        <w:rPr>
          <w:rFonts w:cstheme="minorHAnsi"/>
          <w:b/>
        </w:rPr>
        <w:t>2020</w:t>
      </w:r>
      <w:r w:rsidRPr="00E058D6">
        <w:rPr>
          <w:rFonts w:cstheme="minorHAnsi"/>
          <w:b/>
        </w:rPr>
        <w:t xml:space="preserve">, of non-guaranteed loans for which the loan program </w:t>
      </w:r>
      <w:r w:rsidR="007303DE" w:rsidRPr="00E058D6">
        <w:rPr>
          <w:rFonts w:cstheme="minorHAnsi"/>
          <w:b/>
        </w:rPr>
        <w:t>can</w:t>
      </w:r>
      <w:r w:rsidRPr="00E058D6">
        <w:rPr>
          <w:rFonts w:cstheme="minorHAnsi"/>
          <w:b/>
        </w:rPr>
        <w:t xml:space="preserve">not incur </w:t>
      </w:r>
      <w:r w:rsidR="00E415E5" w:rsidRPr="00E058D6">
        <w:rPr>
          <w:rFonts w:cstheme="minorHAnsi"/>
          <w:b/>
        </w:rPr>
        <w:t>l</w:t>
      </w:r>
      <w:r w:rsidRPr="00E058D6">
        <w:rPr>
          <w:rFonts w:cstheme="minorHAnsi"/>
          <w:b/>
        </w:rPr>
        <w:t xml:space="preserve">osses. </w:t>
      </w:r>
    </w:p>
    <w:p w14:paraId="7FC904DD" w14:textId="1654AC11" w:rsidR="00FD6AB9" w:rsidRPr="00036CB8" w:rsidRDefault="007A3AAC" w:rsidP="007A3AAC">
      <w:pPr>
        <w:spacing w:after="0"/>
        <w:rPr>
          <w:rFonts w:cstheme="minorHAnsi"/>
          <w:b/>
          <w:szCs w:val="24"/>
        </w:rPr>
      </w:pPr>
      <w:r>
        <w:rPr>
          <w:rFonts w:cstheme="minorHAnsi"/>
          <w:szCs w:val="24"/>
        </w:rPr>
        <w:tab/>
      </w:r>
      <w:r w:rsidR="00FD6AB9" w:rsidRPr="00036CB8">
        <w:rPr>
          <w:rFonts w:cstheme="minorHAnsi"/>
          <w:szCs w:val="24"/>
        </w:rPr>
        <w:t xml:space="preserve">Total number of outstanding loans: </w:t>
      </w:r>
      <w:r w:rsidR="007A2C72">
        <w:rPr>
          <w:rFonts w:cstheme="minorHAnsi"/>
          <w:b/>
          <w:szCs w:val="24"/>
        </w:rPr>
        <w:t>53</w:t>
      </w:r>
    </w:p>
    <w:p w14:paraId="5DCC963B" w14:textId="38EF4266" w:rsidR="00133561" w:rsidRDefault="00FD6AB9" w:rsidP="007A3AAC">
      <w:pPr>
        <w:rPr>
          <w:szCs w:val="24"/>
        </w:rPr>
      </w:pPr>
      <w:r w:rsidRPr="00036CB8">
        <w:rPr>
          <w:rFonts w:cstheme="minorHAnsi"/>
          <w:szCs w:val="24"/>
        </w:rPr>
        <w:tab/>
        <w:t>Total dollar amount of principal still outstanding: $</w:t>
      </w:r>
      <w:r w:rsidR="007A2C72">
        <w:rPr>
          <w:rFonts w:cstheme="minorHAnsi"/>
          <w:b/>
          <w:szCs w:val="24"/>
        </w:rPr>
        <w:t>243,742</w:t>
      </w:r>
    </w:p>
    <w:p w14:paraId="0CAC50B2" w14:textId="1C81CC95" w:rsidR="00FD6AB9" w:rsidRPr="00E415E5" w:rsidRDefault="007A3AAC" w:rsidP="007A3AAC">
      <w:pPr>
        <w:pStyle w:val="Heading3"/>
      </w:pPr>
      <w:r w:rsidRPr="00E415E5">
        <w:t>Loan Information</w:t>
      </w:r>
    </w:p>
    <w:p w14:paraId="49A0686C" w14:textId="5F943402" w:rsidR="00FD6AB9" w:rsidRPr="00036CB8" w:rsidRDefault="007A3AAC" w:rsidP="00041EA7">
      <w:pPr>
        <w:spacing w:after="0"/>
        <w:rPr>
          <w:rFonts w:cstheme="minorHAnsi"/>
          <w:b/>
          <w:bCs/>
          <w:szCs w:val="28"/>
        </w:rPr>
      </w:pPr>
      <w:r>
        <w:rPr>
          <w:rFonts w:cstheme="minorHAnsi"/>
          <w:b/>
          <w:bCs/>
          <w:szCs w:val="28"/>
        </w:rPr>
        <w:t xml:space="preserve">A. </w:t>
      </w:r>
      <w:r w:rsidR="00FD6AB9" w:rsidRPr="00036CB8">
        <w:rPr>
          <w:rFonts w:cstheme="minorHAnsi"/>
          <w:b/>
          <w:bCs/>
          <w:szCs w:val="28"/>
        </w:rPr>
        <w:t>Nu</w:t>
      </w:r>
      <w:r w:rsidR="0097335E">
        <w:rPr>
          <w:rFonts w:cstheme="minorHAnsi"/>
          <w:b/>
          <w:bCs/>
          <w:szCs w:val="28"/>
        </w:rPr>
        <w:t>mber of Applications received</w:t>
      </w:r>
    </w:p>
    <w:tbl>
      <w:tblPr>
        <w:tblStyle w:val="GridTable1Light"/>
        <w:tblW w:w="9720" w:type="dxa"/>
        <w:tblLook w:val="0020" w:firstRow="1" w:lastRow="0" w:firstColumn="0" w:lastColumn="0" w:noHBand="0" w:noVBand="0"/>
      </w:tblPr>
      <w:tblGrid>
        <w:gridCol w:w="6030"/>
        <w:gridCol w:w="1080"/>
        <w:gridCol w:w="1542"/>
        <w:gridCol w:w="1068"/>
      </w:tblGrid>
      <w:tr w:rsidR="00FD6AB9" w:rsidRPr="00036CB8" w14:paraId="14914AF9" w14:textId="77777777" w:rsidTr="00FD0D53">
        <w:trPr>
          <w:cnfStyle w:val="100000000000" w:firstRow="1" w:lastRow="0" w:firstColumn="0" w:lastColumn="0" w:oddVBand="0" w:evenVBand="0" w:oddHBand="0" w:evenHBand="0" w:firstRowFirstColumn="0" w:firstRowLastColumn="0" w:lastRowFirstColumn="0" w:lastRowLastColumn="0"/>
          <w:trHeight w:val="413"/>
        </w:trPr>
        <w:tc>
          <w:tcPr>
            <w:tcW w:w="6030" w:type="dxa"/>
          </w:tcPr>
          <w:p w14:paraId="29D2D412" w14:textId="77777777" w:rsidR="00FD6AB9" w:rsidRPr="0097335E" w:rsidRDefault="00E415E5" w:rsidP="00575725">
            <w:pPr>
              <w:rPr>
                <w:rFonts w:cstheme="minorHAnsi"/>
                <w:b w:val="0"/>
                <w:szCs w:val="28"/>
              </w:rPr>
            </w:pPr>
            <w:r w:rsidRPr="0097335E">
              <w:rPr>
                <w:rFonts w:cstheme="minorHAnsi"/>
                <w:b w:val="0"/>
                <w:szCs w:val="28"/>
              </w:rPr>
              <w:t>Application Status for Metro vs. Non-Metro</w:t>
            </w:r>
          </w:p>
        </w:tc>
        <w:tc>
          <w:tcPr>
            <w:tcW w:w="1080" w:type="dxa"/>
          </w:tcPr>
          <w:p w14:paraId="181E9267" w14:textId="77777777" w:rsidR="00FD6AB9" w:rsidRPr="0097335E" w:rsidRDefault="00FD6AB9" w:rsidP="00575725">
            <w:pPr>
              <w:rPr>
                <w:rFonts w:cstheme="minorHAnsi"/>
                <w:b w:val="0"/>
                <w:bCs w:val="0"/>
                <w:szCs w:val="28"/>
              </w:rPr>
            </w:pPr>
            <w:r w:rsidRPr="0097335E">
              <w:rPr>
                <w:rFonts w:cstheme="minorHAnsi"/>
                <w:b w:val="0"/>
                <w:szCs w:val="28"/>
              </w:rPr>
              <w:t>Metro</w:t>
            </w:r>
          </w:p>
        </w:tc>
        <w:tc>
          <w:tcPr>
            <w:tcW w:w="1542" w:type="dxa"/>
          </w:tcPr>
          <w:p w14:paraId="67E3476B" w14:textId="77777777" w:rsidR="00FD6AB9" w:rsidRPr="0097335E" w:rsidRDefault="00FD6AB9" w:rsidP="00036CB8">
            <w:pPr>
              <w:rPr>
                <w:rFonts w:cstheme="minorHAnsi"/>
                <w:b w:val="0"/>
                <w:bCs w:val="0"/>
                <w:szCs w:val="28"/>
              </w:rPr>
            </w:pPr>
            <w:r w:rsidRPr="0097335E">
              <w:rPr>
                <w:rFonts w:cstheme="minorHAnsi"/>
                <w:b w:val="0"/>
                <w:szCs w:val="28"/>
              </w:rPr>
              <w:t>Non-Metro</w:t>
            </w:r>
          </w:p>
        </w:tc>
        <w:tc>
          <w:tcPr>
            <w:tcW w:w="1068" w:type="dxa"/>
          </w:tcPr>
          <w:p w14:paraId="1537B116" w14:textId="77777777" w:rsidR="00FD6AB9" w:rsidRPr="0097335E" w:rsidRDefault="00FD6AB9" w:rsidP="00575725">
            <w:pPr>
              <w:rPr>
                <w:rFonts w:cstheme="minorHAnsi"/>
                <w:b w:val="0"/>
                <w:bCs w:val="0"/>
                <w:szCs w:val="28"/>
              </w:rPr>
            </w:pPr>
            <w:r w:rsidRPr="0097335E">
              <w:rPr>
                <w:rFonts w:cstheme="minorHAnsi"/>
                <w:b w:val="0"/>
                <w:szCs w:val="28"/>
              </w:rPr>
              <w:t>Total</w:t>
            </w:r>
          </w:p>
        </w:tc>
      </w:tr>
      <w:tr w:rsidR="00FD6AB9" w:rsidRPr="00036CB8" w14:paraId="659AA5F8" w14:textId="77777777" w:rsidTr="0097335E">
        <w:trPr>
          <w:cnfStyle w:val="100000000000" w:firstRow="1" w:lastRow="0" w:firstColumn="0" w:lastColumn="0" w:oddVBand="0" w:evenVBand="0" w:oddHBand="0" w:evenHBand="0" w:firstRowFirstColumn="0" w:firstRowLastColumn="0" w:lastRowFirstColumn="0" w:lastRowLastColumn="0"/>
          <w:trHeight w:val="255"/>
        </w:trPr>
        <w:tc>
          <w:tcPr>
            <w:tcW w:w="6030" w:type="dxa"/>
          </w:tcPr>
          <w:p w14:paraId="24F5EBDB" w14:textId="77777777" w:rsidR="00FD6AB9" w:rsidRPr="0097335E" w:rsidRDefault="00FD6AB9" w:rsidP="00575725">
            <w:pPr>
              <w:rPr>
                <w:rFonts w:cstheme="minorHAnsi"/>
                <w:szCs w:val="28"/>
              </w:rPr>
            </w:pPr>
            <w:r w:rsidRPr="0097335E">
              <w:rPr>
                <w:rFonts w:cstheme="minorHAnsi"/>
                <w:szCs w:val="28"/>
              </w:rPr>
              <w:t>Number of applications approved - loan made</w:t>
            </w:r>
          </w:p>
        </w:tc>
        <w:tc>
          <w:tcPr>
            <w:tcW w:w="1080" w:type="dxa"/>
          </w:tcPr>
          <w:p w14:paraId="0965E948" w14:textId="77777777" w:rsidR="00FD6AB9" w:rsidRPr="0097335E" w:rsidRDefault="005F1A59" w:rsidP="00575725">
            <w:pPr>
              <w:jc w:val="center"/>
              <w:rPr>
                <w:rFonts w:cstheme="minorHAnsi"/>
                <w:szCs w:val="28"/>
              </w:rPr>
            </w:pPr>
            <w:r w:rsidRPr="0097335E">
              <w:rPr>
                <w:rFonts w:cstheme="minorHAnsi"/>
                <w:szCs w:val="28"/>
              </w:rPr>
              <w:t>128</w:t>
            </w:r>
          </w:p>
        </w:tc>
        <w:tc>
          <w:tcPr>
            <w:tcW w:w="1542" w:type="dxa"/>
          </w:tcPr>
          <w:p w14:paraId="25B335E4" w14:textId="77777777" w:rsidR="00FD6AB9" w:rsidRPr="0097335E" w:rsidRDefault="005F1A59" w:rsidP="00575725">
            <w:pPr>
              <w:jc w:val="center"/>
              <w:rPr>
                <w:rFonts w:cstheme="minorHAnsi"/>
                <w:szCs w:val="28"/>
              </w:rPr>
            </w:pPr>
            <w:r w:rsidRPr="0097335E">
              <w:rPr>
                <w:rFonts w:cstheme="minorHAnsi"/>
                <w:szCs w:val="28"/>
              </w:rPr>
              <w:t>91</w:t>
            </w:r>
          </w:p>
        </w:tc>
        <w:tc>
          <w:tcPr>
            <w:tcW w:w="1068" w:type="dxa"/>
          </w:tcPr>
          <w:p w14:paraId="67273149" w14:textId="77777777" w:rsidR="00FD6AB9" w:rsidRPr="0097335E" w:rsidRDefault="005F1A59" w:rsidP="00575725">
            <w:pPr>
              <w:jc w:val="center"/>
              <w:rPr>
                <w:rFonts w:cstheme="minorHAnsi"/>
                <w:szCs w:val="28"/>
              </w:rPr>
            </w:pPr>
            <w:r w:rsidRPr="0097335E">
              <w:rPr>
                <w:rFonts w:cstheme="minorHAnsi"/>
                <w:szCs w:val="28"/>
              </w:rPr>
              <w:t>219</w:t>
            </w:r>
          </w:p>
        </w:tc>
      </w:tr>
      <w:tr w:rsidR="00FD6AB9" w:rsidRPr="00036CB8" w14:paraId="57117BCD" w14:textId="77777777" w:rsidTr="0097335E">
        <w:trPr>
          <w:cnfStyle w:val="100000000000" w:firstRow="1" w:lastRow="0" w:firstColumn="0" w:lastColumn="0" w:oddVBand="0" w:evenVBand="0" w:oddHBand="0" w:evenHBand="0" w:firstRowFirstColumn="0" w:firstRowLastColumn="0" w:lastRowFirstColumn="0" w:lastRowLastColumn="0"/>
          <w:trHeight w:val="255"/>
        </w:trPr>
        <w:tc>
          <w:tcPr>
            <w:tcW w:w="6030" w:type="dxa"/>
          </w:tcPr>
          <w:p w14:paraId="78DDFCDF" w14:textId="77777777" w:rsidR="00FD6AB9" w:rsidRPr="0097335E" w:rsidRDefault="00FD6AB9" w:rsidP="00575725">
            <w:pPr>
              <w:rPr>
                <w:rFonts w:cstheme="minorHAnsi"/>
                <w:szCs w:val="28"/>
              </w:rPr>
            </w:pPr>
            <w:r w:rsidRPr="0097335E">
              <w:rPr>
                <w:rFonts w:cstheme="minorHAnsi"/>
                <w:szCs w:val="28"/>
              </w:rPr>
              <w:t>Number of applications approved - loan not made</w:t>
            </w:r>
          </w:p>
        </w:tc>
        <w:tc>
          <w:tcPr>
            <w:tcW w:w="1080" w:type="dxa"/>
          </w:tcPr>
          <w:p w14:paraId="773AF8C9" w14:textId="77777777" w:rsidR="00FD6AB9" w:rsidRPr="0097335E" w:rsidRDefault="004141F6" w:rsidP="00575725">
            <w:pPr>
              <w:jc w:val="center"/>
              <w:rPr>
                <w:rFonts w:cstheme="minorHAnsi"/>
                <w:szCs w:val="28"/>
              </w:rPr>
            </w:pPr>
            <w:r w:rsidRPr="0097335E">
              <w:rPr>
                <w:rFonts w:cstheme="minorHAnsi"/>
                <w:szCs w:val="28"/>
              </w:rPr>
              <w:t>19</w:t>
            </w:r>
          </w:p>
        </w:tc>
        <w:tc>
          <w:tcPr>
            <w:tcW w:w="1542" w:type="dxa"/>
          </w:tcPr>
          <w:p w14:paraId="2C6727F0" w14:textId="77777777" w:rsidR="00FD6AB9" w:rsidRPr="0097335E" w:rsidRDefault="004141F6" w:rsidP="00575725">
            <w:pPr>
              <w:jc w:val="center"/>
              <w:rPr>
                <w:rFonts w:cstheme="minorHAnsi"/>
                <w:szCs w:val="28"/>
              </w:rPr>
            </w:pPr>
            <w:r w:rsidRPr="0097335E">
              <w:rPr>
                <w:rFonts w:cstheme="minorHAnsi"/>
                <w:szCs w:val="28"/>
              </w:rPr>
              <w:t>17</w:t>
            </w:r>
          </w:p>
        </w:tc>
        <w:tc>
          <w:tcPr>
            <w:tcW w:w="1068" w:type="dxa"/>
          </w:tcPr>
          <w:p w14:paraId="0C73F1D7" w14:textId="77777777" w:rsidR="00FD6AB9" w:rsidRPr="0097335E" w:rsidRDefault="004141F6" w:rsidP="00575725">
            <w:pPr>
              <w:jc w:val="center"/>
              <w:rPr>
                <w:rFonts w:cstheme="minorHAnsi"/>
                <w:szCs w:val="28"/>
              </w:rPr>
            </w:pPr>
            <w:r w:rsidRPr="0097335E">
              <w:rPr>
                <w:rFonts w:cstheme="minorHAnsi"/>
                <w:szCs w:val="28"/>
              </w:rPr>
              <w:t>36</w:t>
            </w:r>
          </w:p>
        </w:tc>
      </w:tr>
      <w:tr w:rsidR="00FD6AB9" w:rsidRPr="00036CB8" w14:paraId="408C1FCB" w14:textId="77777777" w:rsidTr="0097335E">
        <w:trPr>
          <w:cnfStyle w:val="100000000000" w:firstRow="1" w:lastRow="0" w:firstColumn="0" w:lastColumn="0" w:oddVBand="0" w:evenVBand="0" w:oddHBand="0" w:evenHBand="0" w:firstRowFirstColumn="0" w:firstRowLastColumn="0" w:lastRowFirstColumn="0" w:lastRowLastColumn="0"/>
          <w:trHeight w:val="255"/>
        </w:trPr>
        <w:tc>
          <w:tcPr>
            <w:tcW w:w="6030" w:type="dxa"/>
          </w:tcPr>
          <w:p w14:paraId="54C7583D" w14:textId="77777777" w:rsidR="00FD6AB9" w:rsidRPr="0097335E" w:rsidRDefault="00FD6AB9" w:rsidP="00575725">
            <w:pPr>
              <w:rPr>
                <w:rFonts w:cstheme="minorHAnsi"/>
                <w:szCs w:val="28"/>
              </w:rPr>
            </w:pPr>
            <w:r w:rsidRPr="0097335E">
              <w:rPr>
                <w:rFonts w:cstheme="minorHAnsi"/>
                <w:szCs w:val="28"/>
              </w:rPr>
              <w:t>Number of applications rejected</w:t>
            </w:r>
          </w:p>
        </w:tc>
        <w:tc>
          <w:tcPr>
            <w:tcW w:w="1080" w:type="dxa"/>
          </w:tcPr>
          <w:p w14:paraId="7E910428" w14:textId="77777777" w:rsidR="00FD6AB9" w:rsidRPr="0097335E" w:rsidRDefault="004141F6" w:rsidP="00575725">
            <w:pPr>
              <w:jc w:val="center"/>
              <w:rPr>
                <w:rFonts w:cstheme="minorHAnsi"/>
                <w:szCs w:val="28"/>
              </w:rPr>
            </w:pPr>
            <w:r w:rsidRPr="0097335E">
              <w:rPr>
                <w:rFonts w:cstheme="minorHAnsi"/>
                <w:szCs w:val="28"/>
              </w:rPr>
              <w:t>73</w:t>
            </w:r>
          </w:p>
        </w:tc>
        <w:tc>
          <w:tcPr>
            <w:tcW w:w="1542" w:type="dxa"/>
          </w:tcPr>
          <w:p w14:paraId="1C59773B" w14:textId="77777777" w:rsidR="00FD6AB9" w:rsidRPr="0097335E" w:rsidRDefault="004141F6" w:rsidP="00575725">
            <w:pPr>
              <w:jc w:val="center"/>
              <w:rPr>
                <w:rFonts w:cstheme="minorHAnsi"/>
                <w:szCs w:val="28"/>
              </w:rPr>
            </w:pPr>
            <w:r w:rsidRPr="0097335E">
              <w:rPr>
                <w:rFonts w:cstheme="minorHAnsi"/>
                <w:szCs w:val="28"/>
              </w:rPr>
              <w:t>54</w:t>
            </w:r>
          </w:p>
        </w:tc>
        <w:tc>
          <w:tcPr>
            <w:tcW w:w="1068" w:type="dxa"/>
          </w:tcPr>
          <w:p w14:paraId="2F3FE049" w14:textId="77777777" w:rsidR="00FD6AB9" w:rsidRPr="0097335E" w:rsidRDefault="004141F6" w:rsidP="00575725">
            <w:pPr>
              <w:jc w:val="center"/>
              <w:rPr>
                <w:rFonts w:cstheme="minorHAnsi"/>
                <w:szCs w:val="28"/>
              </w:rPr>
            </w:pPr>
            <w:r w:rsidRPr="0097335E">
              <w:rPr>
                <w:rFonts w:cstheme="minorHAnsi"/>
                <w:szCs w:val="28"/>
              </w:rPr>
              <w:t>127</w:t>
            </w:r>
          </w:p>
        </w:tc>
      </w:tr>
      <w:tr w:rsidR="00FD6AB9" w:rsidRPr="00036CB8" w14:paraId="546FE25F" w14:textId="77777777" w:rsidTr="0097335E">
        <w:trPr>
          <w:cnfStyle w:val="100000000000" w:firstRow="1" w:lastRow="0" w:firstColumn="0" w:lastColumn="0" w:oddVBand="0" w:evenVBand="0" w:oddHBand="0" w:evenHBand="0" w:firstRowFirstColumn="0" w:firstRowLastColumn="0" w:lastRowFirstColumn="0" w:lastRowLastColumn="0"/>
          <w:trHeight w:val="255"/>
        </w:trPr>
        <w:tc>
          <w:tcPr>
            <w:tcW w:w="6030" w:type="dxa"/>
          </w:tcPr>
          <w:p w14:paraId="5AAC8F54" w14:textId="77777777" w:rsidR="00FD6AB9" w:rsidRPr="0097335E" w:rsidRDefault="00E415E5" w:rsidP="00E415E5">
            <w:pPr>
              <w:rPr>
                <w:rFonts w:cstheme="minorHAnsi"/>
                <w:b w:val="0"/>
                <w:szCs w:val="28"/>
              </w:rPr>
            </w:pPr>
            <w:r w:rsidRPr="0097335E">
              <w:rPr>
                <w:rFonts w:cstheme="minorHAnsi"/>
                <w:b w:val="0"/>
                <w:szCs w:val="28"/>
              </w:rPr>
              <w:t>Total</w:t>
            </w:r>
          </w:p>
        </w:tc>
        <w:tc>
          <w:tcPr>
            <w:tcW w:w="1080" w:type="dxa"/>
          </w:tcPr>
          <w:p w14:paraId="29036887" w14:textId="77777777" w:rsidR="00FD6AB9" w:rsidRPr="0097335E" w:rsidRDefault="00DA2E6B" w:rsidP="00575725">
            <w:pPr>
              <w:jc w:val="center"/>
              <w:rPr>
                <w:rFonts w:cstheme="minorHAnsi"/>
                <w:b w:val="0"/>
                <w:szCs w:val="28"/>
              </w:rPr>
            </w:pPr>
            <w:r w:rsidRPr="0097335E">
              <w:rPr>
                <w:rFonts w:cstheme="minorHAnsi"/>
                <w:b w:val="0"/>
                <w:szCs w:val="28"/>
              </w:rPr>
              <w:t>220</w:t>
            </w:r>
          </w:p>
        </w:tc>
        <w:tc>
          <w:tcPr>
            <w:tcW w:w="1542" w:type="dxa"/>
          </w:tcPr>
          <w:p w14:paraId="02CDC2D0" w14:textId="77777777" w:rsidR="00FD6AB9" w:rsidRPr="0097335E" w:rsidRDefault="00DA2E6B" w:rsidP="00575725">
            <w:pPr>
              <w:jc w:val="center"/>
              <w:rPr>
                <w:rFonts w:cstheme="minorHAnsi"/>
                <w:b w:val="0"/>
                <w:szCs w:val="28"/>
              </w:rPr>
            </w:pPr>
            <w:r w:rsidRPr="0097335E">
              <w:rPr>
                <w:rFonts w:cstheme="minorHAnsi"/>
                <w:b w:val="0"/>
                <w:szCs w:val="28"/>
              </w:rPr>
              <w:t>162</w:t>
            </w:r>
          </w:p>
        </w:tc>
        <w:tc>
          <w:tcPr>
            <w:tcW w:w="1068" w:type="dxa"/>
          </w:tcPr>
          <w:p w14:paraId="2AB748C8" w14:textId="77777777" w:rsidR="00FD6AB9" w:rsidRPr="0097335E" w:rsidRDefault="00D40A7A" w:rsidP="00575725">
            <w:pPr>
              <w:jc w:val="center"/>
              <w:rPr>
                <w:rFonts w:cstheme="minorHAnsi"/>
                <w:b w:val="0"/>
                <w:szCs w:val="28"/>
              </w:rPr>
            </w:pPr>
            <w:r w:rsidRPr="0097335E">
              <w:rPr>
                <w:rFonts w:cstheme="minorHAnsi"/>
                <w:b w:val="0"/>
                <w:szCs w:val="28"/>
              </w:rPr>
              <w:t>382</w:t>
            </w:r>
          </w:p>
        </w:tc>
      </w:tr>
    </w:tbl>
    <w:p w14:paraId="634C2C74" w14:textId="77777777" w:rsidR="007303DE" w:rsidRDefault="007303DE" w:rsidP="00041EA7">
      <w:pPr>
        <w:spacing w:after="0"/>
        <w:rPr>
          <w:rFonts w:cstheme="minorHAnsi"/>
          <w:b/>
          <w:bCs/>
          <w:szCs w:val="28"/>
        </w:rPr>
      </w:pPr>
    </w:p>
    <w:p w14:paraId="042FE6D5" w14:textId="77777777" w:rsidR="00CB24AB" w:rsidRDefault="00CB24AB" w:rsidP="00041EA7">
      <w:pPr>
        <w:spacing w:after="0"/>
        <w:rPr>
          <w:rFonts w:cstheme="minorHAnsi"/>
          <w:b/>
          <w:bCs/>
          <w:szCs w:val="28"/>
        </w:rPr>
      </w:pPr>
      <w:r>
        <w:rPr>
          <w:rFonts w:cstheme="minorHAnsi"/>
          <w:b/>
          <w:bCs/>
          <w:szCs w:val="28"/>
        </w:rPr>
        <w:br w:type="page"/>
      </w:r>
    </w:p>
    <w:p w14:paraId="7C524517" w14:textId="34498995" w:rsidR="00FD6AB9" w:rsidRPr="00036CB8" w:rsidRDefault="00CB24AB" w:rsidP="00041EA7">
      <w:pPr>
        <w:spacing w:after="0"/>
        <w:rPr>
          <w:rFonts w:cstheme="minorHAnsi"/>
          <w:b/>
          <w:bCs/>
          <w:szCs w:val="28"/>
        </w:rPr>
      </w:pPr>
      <w:r>
        <w:rPr>
          <w:rFonts w:cstheme="minorHAnsi"/>
          <w:b/>
          <w:bCs/>
          <w:szCs w:val="28"/>
        </w:rPr>
        <w:t xml:space="preserve">B. </w:t>
      </w:r>
      <w:r w:rsidR="00FD6AB9" w:rsidRPr="00036CB8">
        <w:rPr>
          <w:rFonts w:cstheme="minorHAnsi"/>
          <w:b/>
          <w:bCs/>
          <w:szCs w:val="28"/>
        </w:rPr>
        <w:t>Income of borrowers</w:t>
      </w:r>
      <w:r w:rsidR="007303DE">
        <w:rPr>
          <w:rFonts w:cstheme="minorHAnsi"/>
          <w:b/>
          <w:bCs/>
          <w:szCs w:val="28"/>
        </w:rPr>
        <w:t xml:space="preserve"> - </w:t>
      </w:r>
      <w:r w:rsidR="007303DE" w:rsidRPr="007303DE">
        <w:rPr>
          <w:rFonts w:cstheme="minorHAnsi"/>
          <w:b/>
          <w:bCs/>
          <w:szCs w:val="28"/>
        </w:rPr>
        <w:t>Average</w:t>
      </w:r>
      <w:r w:rsidR="007303DE" w:rsidRPr="00036CB8">
        <w:rPr>
          <w:rFonts w:cstheme="minorHAnsi"/>
          <w:b/>
          <w:bCs/>
          <w:szCs w:val="28"/>
        </w:rPr>
        <w:t xml:space="preserve"> gross i</w:t>
      </w:r>
      <w:r w:rsidR="007303DE">
        <w:rPr>
          <w:rFonts w:cstheme="minorHAnsi"/>
          <w:b/>
          <w:bCs/>
          <w:szCs w:val="28"/>
        </w:rPr>
        <w:t>ncome of all borrowers: $46,843</w:t>
      </w:r>
    </w:p>
    <w:tbl>
      <w:tblPr>
        <w:tblStyle w:val="PlainTable2"/>
        <w:tblW w:w="9810" w:type="dxa"/>
        <w:tblLayout w:type="fixed"/>
        <w:tblLook w:val="0000" w:firstRow="0" w:lastRow="0" w:firstColumn="0" w:lastColumn="0" w:noHBand="0" w:noVBand="0"/>
      </w:tblPr>
      <w:tblGrid>
        <w:gridCol w:w="1890"/>
        <w:gridCol w:w="1170"/>
        <w:gridCol w:w="1350"/>
        <w:gridCol w:w="1350"/>
        <w:gridCol w:w="1350"/>
        <w:gridCol w:w="1530"/>
        <w:gridCol w:w="1170"/>
      </w:tblGrid>
      <w:tr w:rsidR="00041EA7" w:rsidRPr="00036CB8" w14:paraId="433ADAF6" w14:textId="77777777" w:rsidTr="0097335E">
        <w:trPr>
          <w:cnfStyle w:val="000000100000" w:firstRow="0" w:lastRow="0" w:firstColumn="0" w:lastColumn="0" w:oddVBand="0" w:evenVBand="0" w:oddHBand="1" w:evenHBand="0" w:firstRowFirstColumn="0" w:firstRowLastColumn="0" w:lastRowFirstColumn="0" w:lastRowLastColumn="0"/>
          <w:trHeight w:val="611"/>
        </w:trPr>
        <w:tc>
          <w:tcPr>
            <w:cnfStyle w:val="000010000000" w:firstRow="0" w:lastRow="0" w:firstColumn="0" w:lastColumn="0" w:oddVBand="1" w:evenVBand="0" w:oddHBand="0" w:evenHBand="0" w:firstRowFirstColumn="0" w:firstRowLastColumn="0" w:lastRowFirstColumn="0" w:lastRowLastColumn="0"/>
            <w:tcW w:w="1890" w:type="dxa"/>
          </w:tcPr>
          <w:p w14:paraId="7B317338" w14:textId="61A4069B" w:rsidR="00CB24AB" w:rsidRPr="00CB24AB" w:rsidRDefault="00CB24AB" w:rsidP="00CB24AB">
            <w:pPr>
              <w:rPr>
                <w:rFonts w:cstheme="minorHAnsi"/>
                <w:b/>
                <w:sz w:val="24"/>
                <w:szCs w:val="28"/>
              </w:rPr>
            </w:pPr>
            <w:r w:rsidRPr="00CB24AB">
              <w:rPr>
                <w:rFonts w:cstheme="minorHAnsi"/>
                <w:b/>
                <w:sz w:val="24"/>
                <w:szCs w:val="28"/>
              </w:rPr>
              <w:t>Annual Gross Income Range</w:t>
            </w:r>
          </w:p>
        </w:tc>
        <w:tc>
          <w:tcPr>
            <w:cnfStyle w:val="000001000000" w:firstRow="0" w:lastRow="0" w:firstColumn="0" w:lastColumn="0" w:oddVBand="0" w:evenVBand="1" w:oddHBand="0" w:evenHBand="0" w:firstRowFirstColumn="0" w:firstRowLastColumn="0" w:lastRowFirstColumn="0" w:lastRowLastColumn="0"/>
            <w:tcW w:w="1170" w:type="dxa"/>
          </w:tcPr>
          <w:p w14:paraId="331E32E4" w14:textId="77777777" w:rsidR="00FD6AB9" w:rsidRPr="00CB24AB" w:rsidRDefault="00FD6AB9" w:rsidP="00575725">
            <w:pPr>
              <w:rPr>
                <w:rFonts w:cstheme="minorHAnsi"/>
                <w:b/>
                <w:sz w:val="24"/>
                <w:szCs w:val="28"/>
              </w:rPr>
            </w:pPr>
            <w:r w:rsidRPr="00CB24AB">
              <w:rPr>
                <w:rFonts w:cstheme="minorHAnsi"/>
                <w:b/>
                <w:sz w:val="24"/>
                <w:szCs w:val="28"/>
              </w:rPr>
              <w:t>$15,000 or Less</w:t>
            </w:r>
          </w:p>
        </w:tc>
        <w:tc>
          <w:tcPr>
            <w:cnfStyle w:val="000010000000" w:firstRow="0" w:lastRow="0" w:firstColumn="0" w:lastColumn="0" w:oddVBand="1" w:evenVBand="0" w:oddHBand="0" w:evenHBand="0" w:firstRowFirstColumn="0" w:firstRowLastColumn="0" w:lastRowFirstColumn="0" w:lastRowLastColumn="0"/>
            <w:tcW w:w="1350" w:type="dxa"/>
          </w:tcPr>
          <w:p w14:paraId="28931EEF" w14:textId="77777777" w:rsidR="00FD6AB9" w:rsidRPr="00CB24AB" w:rsidRDefault="00FD6AB9" w:rsidP="00575725">
            <w:pPr>
              <w:rPr>
                <w:rFonts w:cstheme="minorHAnsi"/>
                <w:b/>
                <w:sz w:val="24"/>
                <w:szCs w:val="28"/>
              </w:rPr>
            </w:pPr>
            <w:r w:rsidRPr="00CB24AB">
              <w:rPr>
                <w:rFonts w:cstheme="minorHAnsi"/>
                <w:b/>
                <w:sz w:val="24"/>
                <w:szCs w:val="28"/>
              </w:rPr>
              <w:t>$15,001 to $30,000</w:t>
            </w:r>
          </w:p>
        </w:tc>
        <w:tc>
          <w:tcPr>
            <w:cnfStyle w:val="000001000000" w:firstRow="0" w:lastRow="0" w:firstColumn="0" w:lastColumn="0" w:oddVBand="0" w:evenVBand="1" w:oddHBand="0" w:evenHBand="0" w:firstRowFirstColumn="0" w:firstRowLastColumn="0" w:lastRowFirstColumn="0" w:lastRowLastColumn="0"/>
            <w:tcW w:w="1350" w:type="dxa"/>
          </w:tcPr>
          <w:p w14:paraId="2F1682F4" w14:textId="77777777" w:rsidR="00FD6AB9" w:rsidRPr="00CB24AB" w:rsidRDefault="00FD6AB9" w:rsidP="00575725">
            <w:pPr>
              <w:rPr>
                <w:rFonts w:cstheme="minorHAnsi"/>
                <w:b/>
                <w:sz w:val="24"/>
                <w:szCs w:val="28"/>
              </w:rPr>
            </w:pPr>
            <w:r w:rsidRPr="00CB24AB">
              <w:rPr>
                <w:rFonts w:cstheme="minorHAnsi"/>
                <w:b/>
                <w:sz w:val="24"/>
                <w:szCs w:val="28"/>
              </w:rPr>
              <w:t>$30,001 to $45,000</w:t>
            </w:r>
          </w:p>
        </w:tc>
        <w:tc>
          <w:tcPr>
            <w:cnfStyle w:val="000010000000" w:firstRow="0" w:lastRow="0" w:firstColumn="0" w:lastColumn="0" w:oddVBand="1" w:evenVBand="0" w:oddHBand="0" w:evenHBand="0" w:firstRowFirstColumn="0" w:firstRowLastColumn="0" w:lastRowFirstColumn="0" w:lastRowLastColumn="0"/>
            <w:tcW w:w="1350" w:type="dxa"/>
          </w:tcPr>
          <w:p w14:paraId="0DAA931A" w14:textId="77777777" w:rsidR="00FD6AB9" w:rsidRPr="00CB24AB" w:rsidRDefault="00FD6AB9" w:rsidP="00CB24AB">
            <w:pPr>
              <w:rPr>
                <w:rFonts w:cstheme="minorHAnsi"/>
                <w:b/>
                <w:sz w:val="24"/>
                <w:szCs w:val="24"/>
              </w:rPr>
            </w:pPr>
            <w:r w:rsidRPr="00CB24AB">
              <w:rPr>
                <w:rFonts w:cstheme="minorHAnsi"/>
                <w:b/>
                <w:sz w:val="24"/>
                <w:szCs w:val="24"/>
              </w:rPr>
              <w:t>$45,001 to $60,000</w:t>
            </w:r>
          </w:p>
        </w:tc>
        <w:tc>
          <w:tcPr>
            <w:cnfStyle w:val="000001000000" w:firstRow="0" w:lastRow="0" w:firstColumn="0" w:lastColumn="0" w:oddVBand="0" w:evenVBand="1" w:oddHBand="0" w:evenHBand="0" w:firstRowFirstColumn="0" w:firstRowLastColumn="0" w:lastRowFirstColumn="0" w:lastRowLastColumn="0"/>
            <w:tcW w:w="1530" w:type="dxa"/>
          </w:tcPr>
          <w:p w14:paraId="63D9F25B" w14:textId="77777777" w:rsidR="00FD6AB9" w:rsidRPr="00CB24AB" w:rsidRDefault="00FD6AB9" w:rsidP="00575725">
            <w:pPr>
              <w:rPr>
                <w:rFonts w:cstheme="minorHAnsi"/>
                <w:b/>
                <w:sz w:val="24"/>
                <w:szCs w:val="24"/>
              </w:rPr>
            </w:pPr>
            <w:r w:rsidRPr="00CB24AB">
              <w:rPr>
                <w:rFonts w:cstheme="minorHAnsi"/>
                <w:b/>
                <w:sz w:val="24"/>
                <w:szCs w:val="24"/>
              </w:rPr>
              <w:t>$60,001 to $75,000</w:t>
            </w:r>
          </w:p>
        </w:tc>
        <w:tc>
          <w:tcPr>
            <w:cnfStyle w:val="000010000000" w:firstRow="0" w:lastRow="0" w:firstColumn="0" w:lastColumn="0" w:oddVBand="1" w:evenVBand="0" w:oddHBand="0" w:evenHBand="0" w:firstRowFirstColumn="0" w:firstRowLastColumn="0" w:lastRowFirstColumn="0" w:lastRowLastColumn="0"/>
            <w:tcW w:w="1170" w:type="dxa"/>
          </w:tcPr>
          <w:p w14:paraId="3B3389D1" w14:textId="77777777" w:rsidR="00FD6AB9" w:rsidRPr="00CB24AB" w:rsidRDefault="00FD6AB9" w:rsidP="00575725">
            <w:pPr>
              <w:rPr>
                <w:rFonts w:cstheme="minorHAnsi"/>
                <w:b/>
                <w:sz w:val="24"/>
                <w:szCs w:val="24"/>
              </w:rPr>
            </w:pPr>
            <w:r w:rsidRPr="00CB24AB">
              <w:rPr>
                <w:rFonts w:cstheme="minorHAnsi"/>
                <w:b/>
                <w:sz w:val="24"/>
                <w:szCs w:val="24"/>
              </w:rPr>
              <w:t>$75,001 or More</w:t>
            </w:r>
          </w:p>
        </w:tc>
      </w:tr>
      <w:tr w:rsidR="00041EA7" w:rsidRPr="00036CB8" w14:paraId="2FCC6423" w14:textId="77777777" w:rsidTr="0097335E">
        <w:trPr>
          <w:trHeight w:val="620"/>
        </w:trPr>
        <w:tc>
          <w:tcPr>
            <w:cnfStyle w:val="000010000000" w:firstRow="0" w:lastRow="0" w:firstColumn="0" w:lastColumn="0" w:oddVBand="1" w:evenVBand="0" w:oddHBand="0" w:evenHBand="0" w:firstRowFirstColumn="0" w:firstRowLastColumn="0" w:lastRowFirstColumn="0" w:lastRowLastColumn="0"/>
            <w:tcW w:w="1890" w:type="dxa"/>
          </w:tcPr>
          <w:p w14:paraId="43EEE682" w14:textId="3EBDC400" w:rsidR="00FD6AB9" w:rsidRPr="00CB24AB" w:rsidRDefault="00CB24AB" w:rsidP="00CB24AB">
            <w:pPr>
              <w:rPr>
                <w:rFonts w:cstheme="minorHAnsi"/>
                <w:szCs w:val="28"/>
              </w:rPr>
            </w:pPr>
            <w:r w:rsidRPr="00CB24AB">
              <w:rPr>
                <w:rFonts w:cstheme="minorHAnsi"/>
                <w:sz w:val="24"/>
                <w:szCs w:val="28"/>
              </w:rPr>
              <w:t xml:space="preserve">Number of </w:t>
            </w:r>
            <w:r>
              <w:rPr>
                <w:rFonts w:cstheme="minorHAnsi"/>
                <w:sz w:val="24"/>
                <w:szCs w:val="28"/>
              </w:rPr>
              <w:t>L</w:t>
            </w:r>
            <w:r w:rsidRPr="00CB24AB">
              <w:rPr>
                <w:rFonts w:cstheme="minorHAnsi"/>
                <w:sz w:val="24"/>
                <w:szCs w:val="28"/>
              </w:rPr>
              <w:t xml:space="preserve">oans </w:t>
            </w:r>
            <w:r>
              <w:rPr>
                <w:rFonts w:cstheme="minorHAnsi"/>
                <w:sz w:val="24"/>
                <w:szCs w:val="28"/>
              </w:rPr>
              <w:t>M</w:t>
            </w:r>
            <w:r w:rsidRPr="00CB24AB">
              <w:rPr>
                <w:rFonts w:cstheme="minorHAnsi"/>
                <w:sz w:val="24"/>
                <w:szCs w:val="28"/>
              </w:rPr>
              <w:t>ade</w:t>
            </w:r>
          </w:p>
        </w:tc>
        <w:tc>
          <w:tcPr>
            <w:cnfStyle w:val="000001000000" w:firstRow="0" w:lastRow="0" w:firstColumn="0" w:lastColumn="0" w:oddVBand="0" w:evenVBand="1" w:oddHBand="0" w:evenHBand="0" w:firstRowFirstColumn="0" w:firstRowLastColumn="0" w:lastRowFirstColumn="0" w:lastRowLastColumn="0"/>
            <w:tcW w:w="1170" w:type="dxa"/>
          </w:tcPr>
          <w:p w14:paraId="3F0DEC95" w14:textId="77777777" w:rsidR="00FD6AB9" w:rsidRPr="00CB24AB" w:rsidRDefault="00F02FB6" w:rsidP="00CB24AB">
            <w:pPr>
              <w:spacing w:before="120" w:line="360" w:lineRule="auto"/>
              <w:jc w:val="center"/>
              <w:rPr>
                <w:rFonts w:cstheme="minorHAnsi"/>
                <w:sz w:val="24"/>
                <w:szCs w:val="28"/>
              </w:rPr>
            </w:pPr>
            <w:r w:rsidRPr="00CB24AB">
              <w:rPr>
                <w:rFonts w:cstheme="minorHAnsi"/>
                <w:sz w:val="24"/>
                <w:szCs w:val="28"/>
              </w:rPr>
              <w:t>26</w:t>
            </w:r>
          </w:p>
        </w:tc>
        <w:tc>
          <w:tcPr>
            <w:cnfStyle w:val="000010000000" w:firstRow="0" w:lastRow="0" w:firstColumn="0" w:lastColumn="0" w:oddVBand="1" w:evenVBand="0" w:oddHBand="0" w:evenHBand="0" w:firstRowFirstColumn="0" w:firstRowLastColumn="0" w:lastRowFirstColumn="0" w:lastRowLastColumn="0"/>
            <w:tcW w:w="1350" w:type="dxa"/>
          </w:tcPr>
          <w:p w14:paraId="1439E46D" w14:textId="77777777" w:rsidR="00FD6AB9" w:rsidRPr="00CB24AB" w:rsidRDefault="00F02FB6" w:rsidP="00CB24AB">
            <w:pPr>
              <w:spacing w:before="120" w:line="360" w:lineRule="auto"/>
              <w:jc w:val="center"/>
              <w:rPr>
                <w:rFonts w:cstheme="minorHAnsi"/>
                <w:sz w:val="24"/>
                <w:szCs w:val="28"/>
              </w:rPr>
            </w:pPr>
            <w:r w:rsidRPr="00CB24AB">
              <w:rPr>
                <w:rFonts w:cstheme="minorHAnsi"/>
                <w:sz w:val="24"/>
                <w:szCs w:val="28"/>
              </w:rPr>
              <w:t>60</w:t>
            </w:r>
          </w:p>
        </w:tc>
        <w:tc>
          <w:tcPr>
            <w:cnfStyle w:val="000001000000" w:firstRow="0" w:lastRow="0" w:firstColumn="0" w:lastColumn="0" w:oddVBand="0" w:evenVBand="1" w:oddHBand="0" w:evenHBand="0" w:firstRowFirstColumn="0" w:firstRowLastColumn="0" w:lastRowFirstColumn="0" w:lastRowLastColumn="0"/>
            <w:tcW w:w="1350" w:type="dxa"/>
          </w:tcPr>
          <w:p w14:paraId="0BFCEA57" w14:textId="77777777" w:rsidR="00FD6AB9" w:rsidRPr="00CB24AB" w:rsidRDefault="00F02FB6" w:rsidP="00CB24AB">
            <w:pPr>
              <w:spacing w:before="120" w:line="360" w:lineRule="auto"/>
              <w:jc w:val="center"/>
              <w:rPr>
                <w:rFonts w:cstheme="minorHAnsi"/>
                <w:sz w:val="24"/>
                <w:szCs w:val="28"/>
              </w:rPr>
            </w:pPr>
            <w:r w:rsidRPr="00CB24AB">
              <w:rPr>
                <w:rFonts w:cstheme="minorHAnsi"/>
                <w:sz w:val="24"/>
                <w:szCs w:val="28"/>
              </w:rPr>
              <w:t>47</w:t>
            </w:r>
          </w:p>
        </w:tc>
        <w:tc>
          <w:tcPr>
            <w:cnfStyle w:val="000010000000" w:firstRow="0" w:lastRow="0" w:firstColumn="0" w:lastColumn="0" w:oddVBand="1" w:evenVBand="0" w:oddHBand="0" w:evenHBand="0" w:firstRowFirstColumn="0" w:firstRowLastColumn="0" w:lastRowFirstColumn="0" w:lastRowLastColumn="0"/>
            <w:tcW w:w="1350" w:type="dxa"/>
            <w:noWrap/>
          </w:tcPr>
          <w:p w14:paraId="00B6BCB0" w14:textId="77777777" w:rsidR="00FD6AB9" w:rsidRPr="00CB24AB" w:rsidRDefault="00C33C11" w:rsidP="00CB24AB">
            <w:pPr>
              <w:spacing w:before="40" w:line="360" w:lineRule="auto"/>
              <w:jc w:val="center"/>
              <w:rPr>
                <w:rFonts w:cstheme="minorHAnsi"/>
                <w:sz w:val="24"/>
                <w:szCs w:val="28"/>
              </w:rPr>
            </w:pPr>
            <w:r w:rsidRPr="00CB24AB">
              <w:rPr>
                <w:rFonts w:cstheme="minorHAnsi"/>
                <w:sz w:val="24"/>
                <w:szCs w:val="28"/>
              </w:rPr>
              <w:t>29</w:t>
            </w:r>
          </w:p>
        </w:tc>
        <w:tc>
          <w:tcPr>
            <w:cnfStyle w:val="000001000000" w:firstRow="0" w:lastRow="0" w:firstColumn="0" w:lastColumn="0" w:oddVBand="0" w:evenVBand="1" w:oddHBand="0" w:evenHBand="0" w:firstRowFirstColumn="0" w:firstRowLastColumn="0" w:lastRowFirstColumn="0" w:lastRowLastColumn="0"/>
            <w:tcW w:w="1530" w:type="dxa"/>
            <w:noWrap/>
          </w:tcPr>
          <w:p w14:paraId="7D715E70" w14:textId="77777777" w:rsidR="00FD6AB9" w:rsidRPr="00CB24AB" w:rsidRDefault="00C33C11" w:rsidP="00CB24AB">
            <w:pPr>
              <w:spacing w:before="40" w:line="360" w:lineRule="auto"/>
              <w:jc w:val="center"/>
              <w:rPr>
                <w:rFonts w:cstheme="minorHAnsi"/>
                <w:sz w:val="24"/>
                <w:szCs w:val="28"/>
              </w:rPr>
            </w:pPr>
            <w:r w:rsidRPr="00CB24AB">
              <w:rPr>
                <w:rFonts w:cstheme="minorHAnsi"/>
                <w:sz w:val="24"/>
                <w:szCs w:val="28"/>
              </w:rPr>
              <w:t>21</w:t>
            </w:r>
          </w:p>
        </w:tc>
        <w:tc>
          <w:tcPr>
            <w:cnfStyle w:val="000010000000" w:firstRow="0" w:lastRow="0" w:firstColumn="0" w:lastColumn="0" w:oddVBand="1" w:evenVBand="0" w:oddHBand="0" w:evenHBand="0" w:firstRowFirstColumn="0" w:firstRowLastColumn="0" w:lastRowFirstColumn="0" w:lastRowLastColumn="0"/>
            <w:tcW w:w="1170" w:type="dxa"/>
            <w:noWrap/>
          </w:tcPr>
          <w:p w14:paraId="0140D8DE" w14:textId="77777777" w:rsidR="00FD6AB9" w:rsidRPr="00CB24AB" w:rsidRDefault="000F3493" w:rsidP="00CB24AB">
            <w:pPr>
              <w:spacing w:before="40" w:line="360" w:lineRule="auto"/>
              <w:jc w:val="center"/>
              <w:rPr>
                <w:rFonts w:cstheme="minorHAnsi"/>
                <w:sz w:val="24"/>
                <w:szCs w:val="28"/>
              </w:rPr>
            </w:pPr>
            <w:r w:rsidRPr="00CB24AB">
              <w:rPr>
                <w:rFonts w:cstheme="minorHAnsi"/>
                <w:sz w:val="24"/>
                <w:szCs w:val="28"/>
              </w:rPr>
              <w:t>36</w:t>
            </w:r>
          </w:p>
        </w:tc>
      </w:tr>
    </w:tbl>
    <w:p w14:paraId="0D8D83EB" w14:textId="65DE7AD9" w:rsidR="00FD6AB9" w:rsidRPr="00CB24AB" w:rsidRDefault="00CB24AB" w:rsidP="00CB24AB">
      <w:pPr>
        <w:tabs>
          <w:tab w:val="left" w:pos="1335"/>
        </w:tabs>
        <w:spacing w:before="240" w:after="0"/>
        <w:rPr>
          <w:rFonts w:cstheme="minorHAnsi"/>
          <w:b/>
          <w:bCs/>
          <w:szCs w:val="28"/>
        </w:rPr>
      </w:pPr>
      <w:r w:rsidRPr="00CB24AB">
        <w:rPr>
          <w:rFonts w:cstheme="minorHAnsi"/>
          <w:b/>
          <w:bCs/>
          <w:szCs w:val="28"/>
        </w:rPr>
        <w:t>C. Loans closed from July 1, 2019 to June 30.2020</w:t>
      </w:r>
    </w:p>
    <w:tbl>
      <w:tblPr>
        <w:tblStyle w:val="GridTable1Light"/>
        <w:tblW w:w="9450" w:type="dxa"/>
        <w:tblLook w:val="0000" w:firstRow="0" w:lastRow="0" w:firstColumn="0" w:lastColumn="0" w:noHBand="0" w:noVBand="0"/>
      </w:tblPr>
      <w:tblGrid>
        <w:gridCol w:w="5490"/>
        <w:gridCol w:w="1260"/>
        <w:gridCol w:w="2700"/>
      </w:tblGrid>
      <w:tr w:rsidR="00FD6AB9" w:rsidRPr="00036CB8" w14:paraId="40433986" w14:textId="77777777" w:rsidTr="0097335E">
        <w:trPr>
          <w:trHeight w:val="395"/>
        </w:trPr>
        <w:tc>
          <w:tcPr>
            <w:tcW w:w="5490" w:type="dxa"/>
          </w:tcPr>
          <w:p w14:paraId="090A9256" w14:textId="77777777" w:rsidR="00FD6AB9" w:rsidRPr="00041EA7" w:rsidRDefault="00041EA7" w:rsidP="00CB24AB">
            <w:r w:rsidRPr="00041EA7">
              <w:t>Type of Loan</w:t>
            </w:r>
          </w:p>
        </w:tc>
        <w:tc>
          <w:tcPr>
            <w:tcW w:w="1260" w:type="dxa"/>
          </w:tcPr>
          <w:p w14:paraId="759C970D" w14:textId="77777777" w:rsidR="00FD6AB9" w:rsidRPr="00041EA7" w:rsidRDefault="00FD6AB9" w:rsidP="00CB24AB">
            <w:r w:rsidRPr="00041EA7">
              <w:t>Number</w:t>
            </w:r>
          </w:p>
        </w:tc>
        <w:tc>
          <w:tcPr>
            <w:tcW w:w="2700" w:type="dxa"/>
          </w:tcPr>
          <w:p w14:paraId="135BB534" w14:textId="77777777" w:rsidR="00FD6AB9" w:rsidRPr="00041EA7" w:rsidRDefault="00FD6AB9" w:rsidP="00CB24AB">
            <w:r w:rsidRPr="00041EA7">
              <w:t>Total Dollar Amount</w:t>
            </w:r>
          </w:p>
        </w:tc>
      </w:tr>
      <w:tr w:rsidR="00FD6AB9" w:rsidRPr="00036CB8" w14:paraId="0B7B1D9C" w14:textId="77777777" w:rsidTr="0097335E">
        <w:tc>
          <w:tcPr>
            <w:tcW w:w="5490" w:type="dxa"/>
          </w:tcPr>
          <w:p w14:paraId="6E0294E8" w14:textId="77777777" w:rsidR="00FD6AB9" w:rsidRPr="00CB24AB" w:rsidRDefault="00FD6AB9" w:rsidP="00CB24AB">
            <w:pPr>
              <w:rPr>
                <w:rFonts w:cstheme="minorHAnsi"/>
                <w:b/>
                <w:szCs w:val="28"/>
              </w:rPr>
            </w:pPr>
            <w:r w:rsidRPr="00CB24AB">
              <w:rPr>
                <w:rFonts w:cstheme="minorHAnsi"/>
                <w:b/>
                <w:szCs w:val="28"/>
              </w:rPr>
              <w:t>Direct Loan</w:t>
            </w:r>
          </w:p>
        </w:tc>
        <w:tc>
          <w:tcPr>
            <w:tcW w:w="1260" w:type="dxa"/>
          </w:tcPr>
          <w:p w14:paraId="74177034" w14:textId="77777777" w:rsidR="00FD6AB9" w:rsidRPr="00CB24AB" w:rsidRDefault="00281A31" w:rsidP="00CB24AB">
            <w:pPr>
              <w:jc w:val="center"/>
              <w:rPr>
                <w:rFonts w:cstheme="minorHAnsi"/>
                <w:b/>
                <w:szCs w:val="28"/>
              </w:rPr>
            </w:pPr>
            <w:r w:rsidRPr="00CB24AB">
              <w:rPr>
                <w:rFonts w:cstheme="minorHAnsi"/>
                <w:b/>
                <w:szCs w:val="28"/>
              </w:rPr>
              <w:t>89</w:t>
            </w:r>
          </w:p>
        </w:tc>
        <w:tc>
          <w:tcPr>
            <w:tcW w:w="2700" w:type="dxa"/>
          </w:tcPr>
          <w:p w14:paraId="423878B2" w14:textId="77777777" w:rsidR="00FD6AB9" w:rsidRPr="00CB24AB" w:rsidRDefault="00FD6AB9" w:rsidP="00CB24AB">
            <w:pPr>
              <w:jc w:val="right"/>
              <w:rPr>
                <w:rFonts w:cstheme="minorHAnsi"/>
                <w:b/>
                <w:szCs w:val="28"/>
              </w:rPr>
            </w:pPr>
            <w:r w:rsidRPr="00CB24AB">
              <w:rPr>
                <w:rFonts w:cstheme="minorHAnsi"/>
                <w:b/>
                <w:szCs w:val="28"/>
              </w:rPr>
              <w:t>$</w:t>
            </w:r>
            <w:r w:rsidR="003017D6" w:rsidRPr="00CB24AB">
              <w:rPr>
                <w:rFonts w:cstheme="minorHAnsi"/>
                <w:b/>
                <w:szCs w:val="28"/>
              </w:rPr>
              <w:t>207,51</w:t>
            </w:r>
            <w:r w:rsidR="007123D4" w:rsidRPr="00CB24AB">
              <w:rPr>
                <w:rFonts w:cstheme="minorHAnsi"/>
                <w:b/>
                <w:szCs w:val="28"/>
              </w:rPr>
              <w:t>4</w:t>
            </w:r>
          </w:p>
        </w:tc>
      </w:tr>
      <w:tr w:rsidR="00FD6AB9" w:rsidRPr="00036CB8" w14:paraId="62340496" w14:textId="77777777" w:rsidTr="0097335E">
        <w:tc>
          <w:tcPr>
            <w:tcW w:w="5490" w:type="dxa"/>
          </w:tcPr>
          <w:p w14:paraId="0D2B8E17" w14:textId="77777777" w:rsidR="00FD6AB9" w:rsidRPr="00CB24AB" w:rsidRDefault="00FD6AB9" w:rsidP="00CB24AB">
            <w:pPr>
              <w:rPr>
                <w:rFonts w:cstheme="minorHAnsi"/>
                <w:b/>
                <w:szCs w:val="28"/>
              </w:rPr>
            </w:pPr>
            <w:r w:rsidRPr="00CB24AB">
              <w:rPr>
                <w:rFonts w:cstheme="minorHAnsi"/>
                <w:b/>
                <w:szCs w:val="28"/>
              </w:rPr>
              <w:t>Preferred Interest Rate Buy-Down Loans</w:t>
            </w:r>
          </w:p>
        </w:tc>
        <w:tc>
          <w:tcPr>
            <w:tcW w:w="1260" w:type="dxa"/>
          </w:tcPr>
          <w:p w14:paraId="5AF6C678" w14:textId="77777777" w:rsidR="00FD6AB9" w:rsidRPr="00CB24AB" w:rsidRDefault="00281A31" w:rsidP="00CB24AB">
            <w:pPr>
              <w:jc w:val="center"/>
              <w:rPr>
                <w:rFonts w:cstheme="minorHAnsi"/>
                <w:b/>
                <w:szCs w:val="28"/>
              </w:rPr>
            </w:pPr>
            <w:r w:rsidRPr="00CB24AB">
              <w:rPr>
                <w:rFonts w:cstheme="minorHAnsi"/>
                <w:b/>
                <w:szCs w:val="28"/>
              </w:rPr>
              <w:t>39</w:t>
            </w:r>
          </w:p>
        </w:tc>
        <w:tc>
          <w:tcPr>
            <w:tcW w:w="2700" w:type="dxa"/>
          </w:tcPr>
          <w:p w14:paraId="4828D9B0" w14:textId="77777777" w:rsidR="00FD6AB9" w:rsidRPr="00CB24AB" w:rsidRDefault="00041EA7" w:rsidP="00CB24AB">
            <w:pPr>
              <w:jc w:val="right"/>
              <w:rPr>
                <w:rFonts w:cstheme="minorHAnsi"/>
                <w:b/>
                <w:szCs w:val="28"/>
              </w:rPr>
            </w:pPr>
            <w:r w:rsidRPr="00CB24AB">
              <w:rPr>
                <w:rFonts w:cstheme="minorHAnsi"/>
                <w:b/>
                <w:szCs w:val="28"/>
              </w:rPr>
              <w:t>$</w:t>
            </w:r>
            <w:r w:rsidR="003017D6" w:rsidRPr="00CB24AB">
              <w:rPr>
                <w:rFonts w:cstheme="minorHAnsi"/>
                <w:b/>
                <w:szCs w:val="28"/>
              </w:rPr>
              <w:t>203,360</w:t>
            </w:r>
          </w:p>
        </w:tc>
      </w:tr>
      <w:tr w:rsidR="00FD6AB9" w:rsidRPr="00036CB8" w14:paraId="1DB4117C" w14:textId="77777777" w:rsidTr="0097335E">
        <w:tc>
          <w:tcPr>
            <w:tcW w:w="5490" w:type="dxa"/>
          </w:tcPr>
          <w:p w14:paraId="00A0CB8F" w14:textId="77777777" w:rsidR="00FD6AB9" w:rsidRPr="00CB24AB" w:rsidRDefault="00FD6AB9" w:rsidP="00CB24AB">
            <w:pPr>
              <w:rPr>
                <w:rFonts w:cstheme="minorHAnsi"/>
                <w:b/>
                <w:szCs w:val="28"/>
              </w:rPr>
            </w:pPr>
            <w:r w:rsidRPr="00CB24AB">
              <w:rPr>
                <w:rFonts w:cstheme="minorHAnsi"/>
                <w:b/>
                <w:szCs w:val="28"/>
              </w:rPr>
              <w:t>Preferred Guaranteed &amp; Buy-Down Loans</w:t>
            </w:r>
          </w:p>
        </w:tc>
        <w:tc>
          <w:tcPr>
            <w:tcW w:w="1260" w:type="dxa"/>
          </w:tcPr>
          <w:p w14:paraId="33ADD0FE" w14:textId="77777777" w:rsidR="00FD6AB9" w:rsidRPr="00CB24AB" w:rsidRDefault="00281A31" w:rsidP="00CB24AB">
            <w:pPr>
              <w:jc w:val="center"/>
              <w:rPr>
                <w:rFonts w:cstheme="minorHAnsi"/>
                <w:b/>
                <w:szCs w:val="28"/>
              </w:rPr>
            </w:pPr>
            <w:r w:rsidRPr="00CB24AB">
              <w:rPr>
                <w:rFonts w:cstheme="minorHAnsi"/>
                <w:b/>
                <w:szCs w:val="28"/>
              </w:rPr>
              <w:t>91</w:t>
            </w:r>
          </w:p>
        </w:tc>
        <w:tc>
          <w:tcPr>
            <w:tcW w:w="2700" w:type="dxa"/>
          </w:tcPr>
          <w:p w14:paraId="2E3761EA" w14:textId="77777777" w:rsidR="00FD6AB9" w:rsidRPr="00CB24AB" w:rsidRDefault="00041EA7" w:rsidP="00CB24AB">
            <w:pPr>
              <w:jc w:val="right"/>
              <w:rPr>
                <w:rFonts w:cstheme="minorHAnsi"/>
                <w:b/>
                <w:szCs w:val="28"/>
              </w:rPr>
            </w:pPr>
            <w:r w:rsidRPr="00CB24AB">
              <w:rPr>
                <w:rFonts w:cstheme="minorHAnsi"/>
                <w:b/>
                <w:szCs w:val="28"/>
              </w:rPr>
              <w:t>$</w:t>
            </w:r>
            <w:r w:rsidR="003017D6" w:rsidRPr="00CB24AB">
              <w:rPr>
                <w:rFonts w:cstheme="minorHAnsi"/>
                <w:b/>
                <w:szCs w:val="28"/>
              </w:rPr>
              <w:t>581,</w:t>
            </w:r>
            <w:r w:rsidR="00816AA0" w:rsidRPr="00CB24AB">
              <w:rPr>
                <w:rFonts w:cstheme="minorHAnsi"/>
                <w:b/>
                <w:szCs w:val="28"/>
              </w:rPr>
              <w:t>197</w:t>
            </w:r>
          </w:p>
        </w:tc>
      </w:tr>
      <w:tr w:rsidR="00FD6AB9" w:rsidRPr="00036CB8" w14:paraId="61860636" w14:textId="77777777" w:rsidTr="0097335E">
        <w:tc>
          <w:tcPr>
            <w:tcW w:w="5490" w:type="dxa"/>
          </w:tcPr>
          <w:p w14:paraId="200F781C" w14:textId="77777777" w:rsidR="00FD6AB9" w:rsidRPr="00CB24AB" w:rsidRDefault="00FD6AB9" w:rsidP="00CB24AB">
            <w:pPr>
              <w:rPr>
                <w:rFonts w:cstheme="minorHAnsi"/>
                <w:szCs w:val="28"/>
              </w:rPr>
            </w:pPr>
            <w:r w:rsidRPr="00CB24AB">
              <w:rPr>
                <w:rFonts w:cstheme="minorHAnsi"/>
                <w:szCs w:val="28"/>
              </w:rPr>
              <w:t xml:space="preserve">Total all loans </w:t>
            </w:r>
          </w:p>
        </w:tc>
        <w:tc>
          <w:tcPr>
            <w:tcW w:w="1260" w:type="dxa"/>
          </w:tcPr>
          <w:p w14:paraId="0C7F92E5" w14:textId="77777777" w:rsidR="00FD6AB9" w:rsidRPr="00CB24AB" w:rsidRDefault="003017D6" w:rsidP="00CB24AB">
            <w:pPr>
              <w:jc w:val="center"/>
              <w:rPr>
                <w:rFonts w:cstheme="minorHAnsi"/>
                <w:szCs w:val="28"/>
              </w:rPr>
            </w:pPr>
            <w:r w:rsidRPr="00CB24AB">
              <w:rPr>
                <w:rFonts w:cstheme="minorHAnsi"/>
                <w:szCs w:val="28"/>
              </w:rPr>
              <w:t>219</w:t>
            </w:r>
          </w:p>
        </w:tc>
        <w:tc>
          <w:tcPr>
            <w:tcW w:w="2700" w:type="dxa"/>
          </w:tcPr>
          <w:p w14:paraId="15330651" w14:textId="77777777" w:rsidR="00FD6AB9" w:rsidRPr="00CB24AB" w:rsidRDefault="00041EA7" w:rsidP="00CB24AB">
            <w:pPr>
              <w:jc w:val="right"/>
              <w:rPr>
                <w:rFonts w:cstheme="minorHAnsi"/>
                <w:szCs w:val="28"/>
              </w:rPr>
            </w:pPr>
            <w:r w:rsidRPr="00CB24AB">
              <w:rPr>
                <w:rFonts w:cstheme="minorHAnsi"/>
                <w:szCs w:val="28"/>
              </w:rPr>
              <w:t>$</w:t>
            </w:r>
            <w:r w:rsidR="007123D4" w:rsidRPr="00CB24AB">
              <w:rPr>
                <w:rFonts w:cstheme="minorHAnsi"/>
                <w:szCs w:val="28"/>
              </w:rPr>
              <w:t>992,071</w:t>
            </w:r>
          </w:p>
        </w:tc>
      </w:tr>
    </w:tbl>
    <w:p w14:paraId="6DA93153" w14:textId="79F0E9FB" w:rsidR="00FD6AB9" w:rsidRPr="00036CB8" w:rsidRDefault="00CB24AB" w:rsidP="00E415E5">
      <w:pPr>
        <w:spacing w:before="240" w:after="0"/>
        <w:rPr>
          <w:rFonts w:cstheme="minorHAnsi"/>
          <w:b/>
          <w:bCs/>
          <w:szCs w:val="28"/>
        </w:rPr>
      </w:pPr>
      <w:r>
        <w:rPr>
          <w:rFonts w:cstheme="minorHAnsi"/>
          <w:b/>
          <w:bCs/>
          <w:szCs w:val="28"/>
        </w:rPr>
        <w:t>D. Type of AT purchased from July 1, 2019 to June 30, 2020</w:t>
      </w:r>
    </w:p>
    <w:tbl>
      <w:tblPr>
        <w:tblStyle w:val="GridTable1Light"/>
        <w:tblW w:w="9450" w:type="dxa"/>
        <w:tblLook w:val="0000" w:firstRow="0" w:lastRow="0" w:firstColumn="0" w:lastColumn="0" w:noHBand="0" w:noVBand="0"/>
      </w:tblPr>
      <w:tblGrid>
        <w:gridCol w:w="5490"/>
        <w:gridCol w:w="1260"/>
        <w:gridCol w:w="2700"/>
      </w:tblGrid>
      <w:tr w:rsidR="00FD6AB9" w:rsidRPr="00036CB8" w14:paraId="1BEE6168" w14:textId="77777777" w:rsidTr="003315FB">
        <w:trPr>
          <w:trHeight w:val="300"/>
        </w:trPr>
        <w:tc>
          <w:tcPr>
            <w:tcW w:w="5490" w:type="dxa"/>
            <w:noWrap/>
          </w:tcPr>
          <w:p w14:paraId="0ED62E4C" w14:textId="77777777" w:rsidR="00FD6AB9" w:rsidRPr="00CB24AB" w:rsidRDefault="00FD6AB9" w:rsidP="0097335E">
            <w:pPr>
              <w:rPr>
                <w:rFonts w:cstheme="minorHAnsi"/>
                <w:bCs/>
                <w:szCs w:val="28"/>
              </w:rPr>
            </w:pPr>
            <w:r w:rsidRPr="00CB24AB">
              <w:rPr>
                <w:rFonts w:cstheme="minorHAnsi"/>
                <w:bCs/>
                <w:szCs w:val="28"/>
              </w:rPr>
              <w:t>Type of AT</w:t>
            </w:r>
          </w:p>
        </w:tc>
        <w:tc>
          <w:tcPr>
            <w:tcW w:w="1260" w:type="dxa"/>
            <w:noWrap/>
          </w:tcPr>
          <w:p w14:paraId="49BAD7E0" w14:textId="77777777" w:rsidR="00FD6AB9" w:rsidRPr="00CB24AB" w:rsidRDefault="00FD6AB9" w:rsidP="00CB24AB">
            <w:pPr>
              <w:jc w:val="center"/>
              <w:rPr>
                <w:rFonts w:cstheme="minorHAnsi"/>
                <w:bCs/>
                <w:szCs w:val="28"/>
              </w:rPr>
            </w:pPr>
            <w:r w:rsidRPr="00CB24AB">
              <w:rPr>
                <w:rFonts w:cstheme="minorHAnsi"/>
                <w:bCs/>
                <w:szCs w:val="28"/>
              </w:rPr>
              <w:t>Number</w:t>
            </w:r>
          </w:p>
        </w:tc>
        <w:tc>
          <w:tcPr>
            <w:tcW w:w="2700" w:type="dxa"/>
            <w:noWrap/>
          </w:tcPr>
          <w:p w14:paraId="1FF8840B" w14:textId="77777777" w:rsidR="00FD6AB9" w:rsidRPr="00CB24AB" w:rsidRDefault="00041EA7" w:rsidP="00CB24AB">
            <w:pPr>
              <w:jc w:val="right"/>
              <w:rPr>
                <w:rFonts w:cstheme="minorHAnsi"/>
                <w:bCs/>
                <w:szCs w:val="28"/>
              </w:rPr>
            </w:pPr>
            <w:r w:rsidRPr="00CB24AB">
              <w:rPr>
                <w:rFonts w:cstheme="minorHAnsi"/>
                <w:bCs/>
                <w:szCs w:val="28"/>
              </w:rPr>
              <w:t xml:space="preserve">Total Dollar </w:t>
            </w:r>
            <w:r w:rsidR="00FD6AB9" w:rsidRPr="00CB24AB">
              <w:rPr>
                <w:rFonts w:cstheme="minorHAnsi"/>
                <w:bCs/>
                <w:szCs w:val="28"/>
              </w:rPr>
              <w:t>Amount</w:t>
            </w:r>
          </w:p>
        </w:tc>
      </w:tr>
      <w:tr w:rsidR="00FD6AB9" w:rsidRPr="00036CB8" w14:paraId="75CD05C8" w14:textId="77777777" w:rsidTr="003315FB">
        <w:trPr>
          <w:trHeight w:val="285"/>
        </w:trPr>
        <w:tc>
          <w:tcPr>
            <w:tcW w:w="5490" w:type="dxa"/>
          </w:tcPr>
          <w:p w14:paraId="231B8A3B" w14:textId="77777777" w:rsidR="00FD6AB9" w:rsidRPr="00CB24AB" w:rsidRDefault="00FD6AB9" w:rsidP="00CB24AB">
            <w:pPr>
              <w:rPr>
                <w:rFonts w:cstheme="minorHAnsi"/>
                <w:b/>
                <w:szCs w:val="28"/>
              </w:rPr>
            </w:pPr>
            <w:r w:rsidRPr="00CB24AB">
              <w:rPr>
                <w:rFonts w:cstheme="minorHAnsi"/>
                <w:b/>
                <w:szCs w:val="28"/>
              </w:rPr>
              <w:t>Hearing</w:t>
            </w:r>
          </w:p>
        </w:tc>
        <w:tc>
          <w:tcPr>
            <w:tcW w:w="1260" w:type="dxa"/>
            <w:noWrap/>
          </w:tcPr>
          <w:p w14:paraId="7292BCCB" w14:textId="77777777" w:rsidR="00FD6AB9" w:rsidRPr="00CB24AB" w:rsidRDefault="007123D4" w:rsidP="00CB24AB">
            <w:pPr>
              <w:jc w:val="right"/>
              <w:rPr>
                <w:rFonts w:cstheme="minorHAnsi"/>
                <w:b/>
                <w:szCs w:val="28"/>
              </w:rPr>
            </w:pPr>
            <w:r w:rsidRPr="00CB24AB">
              <w:rPr>
                <w:rFonts w:cstheme="minorHAnsi"/>
                <w:b/>
                <w:szCs w:val="28"/>
              </w:rPr>
              <w:t>194</w:t>
            </w:r>
          </w:p>
        </w:tc>
        <w:tc>
          <w:tcPr>
            <w:tcW w:w="2700" w:type="dxa"/>
          </w:tcPr>
          <w:p w14:paraId="02619CE7" w14:textId="77777777" w:rsidR="00FD6AB9" w:rsidRPr="00CB24AB" w:rsidRDefault="00041EA7" w:rsidP="00CB24AB">
            <w:pPr>
              <w:jc w:val="right"/>
              <w:rPr>
                <w:rFonts w:cstheme="minorHAnsi"/>
                <w:b/>
                <w:szCs w:val="28"/>
              </w:rPr>
            </w:pPr>
            <w:r w:rsidRPr="00CB24AB">
              <w:rPr>
                <w:rFonts w:cstheme="minorHAnsi"/>
                <w:b/>
                <w:szCs w:val="28"/>
              </w:rPr>
              <w:t>$</w:t>
            </w:r>
            <w:r w:rsidR="007123D4" w:rsidRPr="00CB24AB">
              <w:rPr>
                <w:rFonts w:cstheme="minorHAnsi"/>
                <w:b/>
                <w:szCs w:val="28"/>
              </w:rPr>
              <w:t>775,</w:t>
            </w:r>
            <w:r w:rsidR="009D36F6" w:rsidRPr="00CB24AB">
              <w:rPr>
                <w:rFonts w:cstheme="minorHAnsi"/>
                <w:b/>
                <w:szCs w:val="28"/>
              </w:rPr>
              <w:t>345</w:t>
            </w:r>
          </w:p>
        </w:tc>
      </w:tr>
      <w:tr w:rsidR="00FD6AB9" w:rsidRPr="00036CB8" w14:paraId="30D870CF" w14:textId="77777777" w:rsidTr="003315FB">
        <w:trPr>
          <w:trHeight w:val="285"/>
        </w:trPr>
        <w:tc>
          <w:tcPr>
            <w:tcW w:w="5490" w:type="dxa"/>
          </w:tcPr>
          <w:p w14:paraId="5563CEE1" w14:textId="77777777" w:rsidR="00FD6AB9" w:rsidRPr="00CB24AB" w:rsidRDefault="00FD6AB9" w:rsidP="00CB24AB">
            <w:pPr>
              <w:rPr>
                <w:rFonts w:cstheme="minorHAnsi"/>
                <w:b/>
                <w:szCs w:val="28"/>
              </w:rPr>
            </w:pPr>
            <w:r w:rsidRPr="00CB24AB">
              <w:rPr>
                <w:rFonts w:cstheme="minorHAnsi"/>
                <w:b/>
                <w:szCs w:val="28"/>
              </w:rPr>
              <w:t xml:space="preserve">Vehicle modifications and </w:t>
            </w:r>
            <w:r w:rsidR="00041EA7" w:rsidRPr="00CB24AB">
              <w:rPr>
                <w:rFonts w:cstheme="minorHAnsi"/>
                <w:b/>
                <w:szCs w:val="28"/>
              </w:rPr>
              <w:t>t</w:t>
            </w:r>
            <w:r w:rsidRPr="00CB24AB">
              <w:rPr>
                <w:rFonts w:cstheme="minorHAnsi"/>
                <w:b/>
                <w:szCs w:val="28"/>
              </w:rPr>
              <w:t>ransportation</w:t>
            </w:r>
          </w:p>
        </w:tc>
        <w:tc>
          <w:tcPr>
            <w:tcW w:w="1260" w:type="dxa"/>
            <w:noWrap/>
          </w:tcPr>
          <w:p w14:paraId="71047D01" w14:textId="77777777" w:rsidR="00FD6AB9" w:rsidRPr="00CB24AB" w:rsidRDefault="00041EA7" w:rsidP="00CB24AB">
            <w:pPr>
              <w:jc w:val="right"/>
              <w:rPr>
                <w:rFonts w:cstheme="minorHAnsi"/>
                <w:b/>
                <w:szCs w:val="28"/>
              </w:rPr>
            </w:pPr>
            <w:r w:rsidRPr="00CB24AB">
              <w:rPr>
                <w:rFonts w:cstheme="minorHAnsi"/>
                <w:b/>
                <w:szCs w:val="28"/>
              </w:rPr>
              <w:t>11</w:t>
            </w:r>
          </w:p>
        </w:tc>
        <w:tc>
          <w:tcPr>
            <w:tcW w:w="2700" w:type="dxa"/>
            <w:noWrap/>
          </w:tcPr>
          <w:p w14:paraId="543C8573" w14:textId="77777777" w:rsidR="00FD6AB9" w:rsidRPr="00CB24AB" w:rsidRDefault="00041EA7" w:rsidP="00CB24AB">
            <w:pPr>
              <w:jc w:val="right"/>
              <w:rPr>
                <w:rFonts w:cstheme="minorHAnsi"/>
                <w:b/>
                <w:szCs w:val="28"/>
              </w:rPr>
            </w:pPr>
            <w:r w:rsidRPr="00CB24AB">
              <w:rPr>
                <w:rFonts w:cstheme="minorHAnsi"/>
                <w:b/>
                <w:szCs w:val="28"/>
              </w:rPr>
              <w:t>$</w:t>
            </w:r>
            <w:r w:rsidR="009D36F6" w:rsidRPr="00CB24AB">
              <w:rPr>
                <w:rFonts w:cstheme="minorHAnsi"/>
                <w:b/>
                <w:szCs w:val="28"/>
              </w:rPr>
              <w:t>177,061</w:t>
            </w:r>
          </w:p>
        </w:tc>
      </w:tr>
      <w:tr w:rsidR="00FD6AB9" w:rsidRPr="00036CB8" w14:paraId="0A7EF1BF" w14:textId="77777777" w:rsidTr="003315FB">
        <w:trPr>
          <w:trHeight w:val="285"/>
        </w:trPr>
        <w:tc>
          <w:tcPr>
            <w:tcW w:w="5490" w:type="dxa"/>
          </w:tcPr>
          <w:p w14:paraId="7A6C7B7B" w14:textId="77777777" w:rsidR="00FD6AB9" w:rsidRPr="00CB24AB" w:rsidRDefault="00FD6AB9" w:rsidP="00CB24AB">
            <w:pPr>
              <w:rPr>
                <w:rFonts w:cstheme="minorHAnsi"/>
                <w:b/>
                <w:szCs w:val="28"/>
              </w:rPr>
            </w:pPr>
            <w:r w:rsidRPr="00CB24AB">
              <w:rPr>
                <w:rFonts w:cstheme="minorHAnsi"/>
                <w:b/>
                <w:szCs w:val="28"/>
              </w:rPr>
              <w:t>Daily Living</w:t>
            </w:r>
          </w:p>
        </w:tc>
        <w:tc>
          <w:tcPr>
            <w:tcW w:w="1260" w:type="dxa"/>
            <w:noWrap/>
          </w:tcPr>
          <w:p w14:paraId="2ECA060F" w14:textId="77777777" w:rsidR="00FD6AB9" w:rsidRPr="00CB24AB" w:rsidRDefault="009D36F6" w:rsidP="00CB24AB">
            <w:pPr>
              <w:jc w:val="right"/>
              <w:rPr>
                <w:rFonts w:cstheme="minorHAnsi"/>
                <w:b/>
                <w:szCs w:val="28"/>
              </w:rPr>
            </w:pPr>
            <w:r w:rsidRPr="00CB24AB">
              <w:rPr>
                <w:rFonts w:cstheme="minorHAnsi"/>
                <w:b/>
                <w:szCs w:val="28"/>
              </w:rPr>
              <w:t>5</w:t>
            </w:r>
          </w:p>
        </w:tc>
        <w:tc>
          <w:tcPr>
            <w:tcW w:w="2700" w:type="dxa"/>
            <w:noWrap/>
          </w:tcPr>
          <w:p w14:paraId="17574857" w14:textId="77777777" w:rsidR="00FD6AB9" w:rsidRPr="00CB24AB" w:rsidRDefault="00041EA7" w:rsidP="00CB24AB">
            <w:pPr>
              <w:jc w:val="right"/>
              <w:rPr>
                <w:rFonts w:cstheme="minorHAnsi"/>
                <w:b/>
                <w:szCs w:val="28"/>
              </w:rPr>
            </w:pPr>
            <w:r w:rsidRPr="00CB24AB">
              <w:rPr>
                <w:rFonts w:cstheme="minorHAnsi"/>
                <w:b/>
                <w:szCs w:val="28"/>
              </w:rPr>
              <w:t>$</w:t>
            </w:r>
            <w:r w:rsidR="009D36F6" w:rsidRPr="00CB24AB">
              <w:rPr>
                <w:rFonts w:cstheme="minorHAnsi"/>
                <w:b/>
                <w:szCs w:val="28"/>
              </w:rPr>
              <w:t>1,728</w:t>
            </w:r>
          </w:p>
        </w:tc>
      </w:tr>
      <w:tr w:rsidR="00FD6AB9" w:rsidRPr="00036CB8" w14:paraId="4566F534" w14:textId="77777777" w:rsidTr="003315FB">
        <w:trPr>
          <w:trHeight w:val="285"/>
        </w:trPr>
        <w:tc>
          <w:tcPr>
            <w:tcW w:w="5490" w:type="dxa"/>
          </w:tcPr>
          <w:p w14:paraId="430CF272" w14:textId="77777777" w:rsidR="00FD6AB9" w:rsidRPr="00CB24AB" w:rsidRDefault="00762CDA" w:rsidP="00CB24AB">
            <w:pPr>
              <w:rPr>
                <w:rFonts w:cstheme="minorHAnsi"/>
                <w:b/>
                <w:szCs w:val="28"/>
              </w:rPr>
            </w:pPr>
            <w:r w:rsidRPr="00CB24AB">
              <w:rPr>
                <w:rFonts w:cstheme="minorHAnsi"/>
                <w:b/>
                <w:szCs w:val="28"/>
              </w:rPr>
              <w:t>Environmental Adaptation</w:t>
            </w:r>
          </w:p>
        </w:tc>
        <w:tc>
          <w:tcPr>
            <w:tcW w:w="1260" w:type="dxa"/>
            <w:noWrap/>
          </w:tcPr>
          <w:p w14:paraId="62BDD2E2" w14:textId="77777777" w:rsidR="00FD6AB9" w:rsidRPr="00CB24AB" w:rsidRDefault="00762CDA" w:rsidP="00CB24AB">
            <w:pPr>
              <w:jc w:val="right"/>
              <w:rPr>
                <w:rFonts w:cstheme="minorHAnsi"/>
                <w:b/>
                <w:szCs w:val="28"/>
              </w:rPr>
            </w:pPr>
            <w:r w:rsidRPr="00CB24AB">
              <w:rPr>
                <w:rFonts w:cstheme="minorHAnsi"/>
                <w:b/>
                <w:szCs w:val="28"/>
              </w:rPr>
              <w:t>5</w:t>
            </w:r>
          </w:p>
        </w:tc>
        <w:tc>
          <w:tcPr>
            <w:tcW w:w="2700" w:type="dxa"/>
            <w:noWrap/>
          </w:tcPr>
          <w:p w14:paraId="27500F48" w14:textId="77777777" w:rsidR="00FD6AB9" w:rsidRPr="00CB24AB" w:rsidRDefault="00762CDA" w:rsidP="00CB24AB">
            <w:pPr>
              <w:jc w:val="right"/>
              <w:rPr>
                <w:rFonts w:cstheme="minorHAnsi"/>
                <w:b/>
                <w:szCs w:val="28"/>
              </w:rPr>
            </w:pPr>
            <w:r w:rsidRPr="00CB24AB">
              <w:rPr>
                <w:rFonts w:cstheme="minorHAnsi"/>
                <w:b/>
                <w:szCs w:val="28"/>
              </w:rPr>
              <w:t>$23,858</w:t>
            </w:r>
          </w:p>
        </w:tc>
      </w:tr>
      <w:tr w:rsidR="00762CDA" w:rsidRPr="00036CB8" w14:paraId="5DC34276" w14:textId="77777777" w:rsidTr="003315FB">
        <w:trPr>
          <w:trHeight w:val="285"/>
        </w:trPr>
        <w:tc>
          <w:tcPr>
            <w:tcW w:w="5490" w:type="dxa"/>
          </w:tcPr>
          <w:p w14:paraId="19D9A0A3" w14:textId="77777777" w:rsidR="00762CDA" w:rsidRPr="00CB24AB" w:rsidDel="00762CDA" w:rsidRDefault="00AC4D40" w:rsidP="00CB24AB">
            <w:pPr>
              <w:rPr>
                <w:rFonts w:cstheme="minorHAnsi"/>
                <w:b/>
                <w:szCs w:val="28"/>
              </w:rPr>
            </w:pPr>
            <w:r w:rsidRPr="00CB24AB">
              <w:rPr>
                <w:rFonts w:cstheme="minorHAnsi"/>
                <w:b/>
                <w:szCs w:val="28"/>
              </w:rPr>
              <w:t>Vision</w:t>
            </w:r>
          </w:p>
        </w:tc>
        <w:tc>
          <w:tcPr>
            <w:tcW w:w="1260" w:type="dxa"/>
            <w:noWrap/>
          </w:tcPr>
          <w:p w14:paraId="4CF45166" w14:textId="77777777" w:rsidR="00762CDA" w:rsidRPr="00CB24AB" w:rsidDel="00762CDA" w:rsidRDefault="00AC4D40" w:rsidP="00CB24AB">
            <w:pPr>
              <w:jc w:val="right"/>
              <w:rPr>
                <w:rFonts w:cstheme="minorHAnsi"/>
                <w:b/>
                <w:szCs w:val="28"/>
              </w:rPr>
            </w:pPr>
            <w:r w:rsidRPr="00CB24AB">
              <w:rPr>
                <w:rFonts w:cstheme="minorHAnsi"/>
                <w:b/>
                <w:szCs w:val="28"/>
              </w:rPr>
              <w:t>2</w:t>
            </w:r>
          </w:p>
        </w:tc>
        <w:tc>
          <w:tcPr>
            <w:tcW w:w="2700" w:type="dxa"/>
            <w:noWrap/>
          </w:tcPr>
          <w:p w14:paraId="53E39B22" w14:textId="77777777" w:rsidR="00762CDA" w:rsidRPr="00CB24AB" w:rsidDel="00762CDA" w:rsidRDefault="00AC4D40" w:rsidP="00CB24AB">
            <w:pPr>
              <w:jc w:val="right"/>
              <w:rPr>
                <w:rFonts w:cstheme="minorHAnsi"/>
                <w:b/>
                <w:szCs w:val="28"/>
              </w:rPr>
            </w:pPr>
            <w:r w:rsidRPr="00CB24AB">
              <w:rPr>
                <w:rFonts w:cstheme="minorHAnsi"/>
                <w:b/>
                <w:szCs w:val="28"/>
              </w:rPr>
              <w:t>$10,495</w:t>
            </w:r>
          </w:p>
        </w:tc>
      </w:tr>
      <w:tr w:rsidR="00A572A2" w:rsidRPr="00036CB8" w14:paraId="03458BFB" w14:textId="77777777" w:rsidTr="003315FB">
        <w:trPr>
          <w:trHeight w:val="285"/>
        </w:trPr>
        <w:tc>
          <w:tcPr>
            <w:tcW w:w="5490" w:type="dxa"/>
          </w:tcPr>
          <w:p w14:paraId="26D9A447" w14:textId="77777777" w:rsidR="00A572A2" w:rsidRPr="00CB24AB" w:rsidDel="00762CDA" w:rsidRDefault="0018116B" w:rsidP="00CB24AB">
            <w:pPr>
              <w:rPr>
                <w:rFonts w:cstheme="minorHAnsi"/>
                <w:b/>
                <w:szCs w:val="28"/>
              </w:rPr>
            </w:pPr>
            <w:r w:rsidRPr="00CB24AB">
              <w:rPr>
                <w:rFonts w:cstheme="minorHAnsi"/>
                <w:b/>
                <w:szCs w:val="28"/>
              </w:rPr>
              <w:t>Computer Related</w:t>
            </w:r>
          </w:p>
        </w:tc>
        <w:tc>
          <w:tcPr>
            <w:tcW w:w="1260" w:type="dxa"/>
            <w:noWrap/>
          </w:tcPr>
          <w:p w14:paraId="067FF17E" w14:textId="77777777" w:rsidR="00A572A2" w:rsidRPr="00CB24AB" w:rsidDel="00762CDA" w:rsidRDefault="0018116B" w:rsidP="00CB24AB">
            <w:pPr>
              <w:jc w:val="right"/>
              <w:rPr>
                <w:rFonts w:cstheme="minorHAnsi"/>
                <w:b/>
                <w:szCs w:val="28"/>
              </w:rPr>
            </w:pPr>
            <w:r w:rsidRPr="00CB24AB">
              <w:rPr>
                <w:rFonts w:cstheme="minorHAnsi"/>
                <w:b/>
                <w:szCs w:val="28"/>
              </w:rPr>
              <w:t>1</w:t>
            </w:r>
          </w:p>
        </w:tc>
        <w:tc>
          <w:tcPr>
            <w:tcW w:w="2700" w:type="dxa"/>
            <w:noWrap/>
          </w:tcPr>
          <w:p w14:paraId="75601D00" w14:textId="77777777" w:rsidR="00A572A2" w:rsidRPr="00CB24AB" w:rsidDel="00762CDA" w:rsidRDefault="0018116B" w:rsidP="00CB24AB">
            <w:pPr>
              <w:jc w:val="right"/>
              <w:rPr>
                <w:rFonts w:cstheme="minorHAnsi"/>
                <w:b/>
                <w:szCs w:val="28"/>
              </w:rPr>
            </w:pPr>
            <w:r w:rsidRPr="00CB24AB">
              <w:rPr>
                <w:rFonts w:cstheme="minorHAnsi"/>
                <w:b/>
                <w:szCs w:val="28"/>
              </w:rPr>
              <w:t>$2,992</w:t>
            </w:r>
          </w:p>
        </w:tc>
      </w:tr>
      <w:tr w:rsidR="00A572A2" w:rsidRPr="00036CB8" w14:paraId="5F7ED719" w14:textId="77777777" w:rsidTr="003315FB">
        <w:trPr>
          <w:trHeight w:val="285"/>
        </w:trPr>
        <w:tc>
          <w:tcPr>
            <w:tcW w:w="5490" w:type="dxa"/>
          </w:tcPr>
          <w:p w14:paraId="1E17BCC8" w14:textId="77777777" w:rsidR="00A572A2" w:rsidRPr="00CB24AB" w:rsidDel="00762CDA" w:rsidRDefault="00EB131C" w:rsidP="00CB24AB">
            <w:pPr>
              <w:rPr>
                <w:rFonts w:cstheme="minorHAnsi"/>
                <w:b/>
                <w:szCs w:val="28"/>
              </w:rPr>
            </w:pPr>
            <w:r w:rsidRPr="00CB24AB">
              <w:rPr>
                <w:rFonts w:cstheme="minorHAnsi"/>
                <w:b/>
                <w:szCs w:val="28"/>
              </w:rPr>
              <w:t>Mobility, Seating, and Positioning</w:t>
            </w:r>
          </w:p>
        </w:tc>
        <w:tc>
          <w:tcPr>
            <w:tcW w:w="1260" w:type="dxa"/>
            <w:noWrap/>
          </w:tcPr>
          <w:p w14:paraId="0FB1F8A9" w14:textId="77777777" w:rsidR="00A572A2" w:rsidRPr="00CB24AB" w:rsidDel="00762CDA" w:rsidRDefault="00EB131C" w:rsidP="00CB24AB">
            <w:pPr>
              <w:jc w:val="right"/>
              <w:rPr>
                <w:rFonts w:cstheme="minorHAnsi"/>
                <w:b/>
                <w:szCs w:val="28"/>
              </w:rPr>
            </w:pPr>
            <w:r w:rsidRPr="00CB24AB">
              <w:rPr>
                <w:rFonts w:cstheme="minorHAnsi"/>
                <w:b/>
                <w:szCs w:val="28"/>
              </w:rPr>
              <w:t>1</w:t>
            </w:r>
          </w:p>
        </w:tc>
        <w:tc>
          <w:tcPr>
            <w:tcW w:w="2700" w:type="dxa"/>
            <w:noWrap/>
          </w:tcPr>
          <w:p w14:paraId="399D381F" w14:textId="77777777" w:rsidR="00A572A2" w:rsidRPr="00CB24AB" w:rsidDel="00762CDA" w:rsidRDefault="00EB131C" w:rsidP="00CB24AB">
            <w:pPr>
              <w:jc w:val="right"/>
              <w:rPr>
                <w:rFonts w:cstheme="minorHAnsi"/>
                <w:b/>
                <w:szCs w:val="28"/>
              </w:rPr>
            </w:pPr>
            <w:r w:rsidRPr="00CB24AB">
              <w:rPr>
                <w:rFonts w:cstheme="minorHAnsi"/>
                <w:b/>
                <w:szCs w:val="28"/>
              </w:rPr>
              <w:t>$592</w:t>
            </w:r>
          </w:p>
        </w:tc>
      </w:tr>
      <w:tr w:rsidR="00FD6AB9" w:rsidRPr="00036CB8" w14:paraId="7FAD60EC" w14:textId="77777777" w:rsidTr="003315FB">
        <w:trPr>
          <w:trHeight w:val="285"/>
        </w:trPr>
        <w:tc>
          <w:tcPr>
            <w:tcW w:w="5490" w:type="dxa"/>
          </w:tcPr>
          <w:p w14:paraId="200ED21F" w14:textId="77777777" w:rsidR="00FD6AB9" w:rsidRPr="00CB24AB" w:rsidRDefault="00FD6AB9" w:rsidP="00CB24AB">
            <w:pPr>
              <w:rPr>
                <w:rFonts w:cstheme="minorHAnsi"/>
                <w:szCs w:val="28"/>
              </w:rPr>
            </w:pPr>
            <w:r w:rsidRPr="00CB24AB">
              <w:rPr>
                <w:rFonts w:cstheme="minorHAnsi"/>
                <w:szCs w:val="28"/>
              </w:rPr>
              <w:t>Total</w:t>
            </w:r>
          </w:p>
        </w:tc>
        <w:tc>
          <w:tcPr>
            <w:tcW w:w="1260" w:type="dxa"/>
            <w:noWrap/>
          </w:tcPr>
          <w:p w14:paraId="739FA249" w14:textId="77777777" w:rsidR="00FD6AB9" w:rsidRPr="00CB24AB" w:rsidRDefault="0068221D" w:rsidP="00CB24AB">
            <w:pPr>
              <w:jc w:val="right"/>
              <w:rPr>
                <w:rFonts w:cstheme="minorHAnsi"/>
                <w:szCs w:val="28"/>
              </w:rPr>
            </w:pPr>
            <w:r w:rsidRPr="00CB24AB">
              <w:rPr>
                <w:rFonts w:cstheme="minorHAnsi"/>
                <w:szCs w:val="28"/>
              </w:rPr>
              <w:t>219</w:t>
            </w:r>
          </w:p>
        </w:tc>
        <w:tc>
          <w:tcPr>
            <w:tcW w:w="2700" w:type="dxa"/>
            <w:noWrap/>
          </w:tcPr>
          <w:p w14:paraId="4E21BF1B" w14:textId="77777777" w:rsidR="00FD6AB9" w:rsidRPr="00CB24AB" w:rsidRDefault="00041EA7" w:rsidP="00CB24AB">
            <w:pPr>
              <w:jc w:val="right"/>
              <w:rPr>
                <w:rFonts w:cstheme="minorHAnsi"/>
                <w:szCs w:val="28"/>
              </w:rPr>
            </w:pPr>
            <w:r w:rsidRPr="00CB24AB">
              <w:rPr>
                <w:rFonts w:cstheme="minorHAnsi"/>
                <w:szCs w:val="28"/>
              </w:rPr>
              <w:t>$</w:t>
            </w:r>
            <w:r w:rsidR="002017BB" w:rsidRPr="00CB24AB">
              <w:rPr>
                <w:rFonts w:cstheme="minorHAnsi"/>
                <w:szCs w:val="28"/>
              </w:rPr>
              <w:t>992,071</w:t>
            </w:r>
          </w:p>
        </w:tc>
      </w:tr>
    </w:tbl>
    <w:p w14:paraId="067D29F0" w14:textId="417AA347" w:rsidR="00FD6AB9" w:rsidRPr="00036CB8" w:rsidRDefault="00CB24AB" w:rsidP="00E415E5">
      <w:pPr>
        <w:spacing w:before="240" w:after="0"/>
        <w:rPr>
          <w:rFonts w:cstheme="minorHAnsi"/>
          <w:b/>
          <w:szCs w:val="28"/>
        </w:rPr>
      </w:pPr>
      <w:r>
        <w:rPr>
          <w:rFonts w:cstheme="minorHAnsi"/>
          <w:b/>
          <w:szCs w:val="28"/>
        </w:rPr>
        <w:t xml:space="preserve">E. </w:t>
      </w:r>
      <w:r w:rsidR="00041EA7">
        <w:rPr>
          <w:rFonts w:cstheme="minorHAnsi"/>
          <w:b/>
          <w:szCs w:val="28"/>
        </w:rPr>
        <w:t>Purpose of AT</w:t>
      </w:r>
    </w:p>
    <w:tbl>
      <w:tblPr>
        <w:tblStyle w:val="GridTable1Light"/>
        <w:tblW w:w="9355" w:type="dxa"/>
        <w:tblLook w:val="0020" w:firstRow="1" w:lastRow="0" w:firstColumn="0" w:lastColumn="0" w:noHBand="0" w:noVBand="0"/>
      </w:tblPr>
      <w:tblGrid>
        <w:gridCol w:w="1885"/>
        <w:gridCol w:w="2430"/>
        <w:gridCol w:w="2340"/>
        <w:gridCol w:w="2700"/>
      </w:tblGrid>
      <w:tr w:rsidR="00041EA7" w:rsidRPr="00036CB8" w14:paraId="4635BDEC" w14:textId="77777777" w:rsidTr="003315FB">
        <w:trPr>
          <w:cnfStyle w:val="100000000000" w:firstRow="1" w:lastRow="0" w:firstColumn="0" w:lastColumn="0" w:oddVBand="0" w:evenVBand="0" w:oddHBand="0" w:evenHBand="0" w:firstRowFirstColumn="0" w:firstRowLastColumn="0" w:lastRowFirstColumn="0" w:lastRowLastColumn="0"/>
          <w:trHeight w:val="449"/>
        </w:trPr>
        <w:tc>
          <w:tcPr>
            <w:tcW w:w="1885" w:type="dxa"/>
          </w:tcPr>
          <w:p w14:paraId="0ABE9849" w14:textId="77777777" w:rsidR="00041EA7" w:rsidRPr="003315FB" w:rsidRDefault="00041EA7" w:rsidP="003315FB">
            <w:pPr>
              <w:jc w:val="center"/>
              <w:rPr>
                <w:rFonts w:cstheme="minorHAnsi"/>
                <w:b w:val="0"/>
                <w:iCs/>
                <w:szCs w:val="28"/>
              </w:rPr>
            </w:pPr>
            <w:r w:rsidRPr="003315FB">
              <w:rPr>
                <w:rFonts w:cstheme="minorHAnsi"/>
                <w:b w:val="0"/>
                <w:iCs/>
                <w:szCs w:val="28"/>
              </w:rPr>
              <w:t>Education</w:t>
            </w:r>
          </w:p>
        </w:tc>
        <w:tc>
          <w:tcPr>
            <w:tcW w:w="2430" w:type="dxa"/>
          </w:tcPr>
          <w:p w14:paraId="4CE4CF8F" w14:textId="77777777" w:rsidR="00041EA7" w:rsidRPr="003315FB" w:rsidRDefault="00041EA7" w:rsidP="003315FB">
            <w:pPr>
              <w:jc w:val="center"/>
              <w:rPr>
                <w:rFonts w:cstheme="minorHAnsi"/>
                <w:b w:val="0"/>
                <w:iCs/>
                <w:szCs w:val="28"/>
              </w:rPr>
            </w:pPr>
            <w:r w:rsidRPr="003315FB">
              <w:rPr>
                <w:rFonts w:cstheme="minorHAnsi"/>
                <w:b w:val="0"/>
                <w:iCs/>
                <w:szCs w:val="28"/>
              </w:rPr>
              <w:t>Employment</w:t>
            </w:r>
          </w:p>
        </w:tc>
        <w:tc>
          <w:tcPr>
            <w:tcW w:w="2340" w:type="dxa"/>
          </w:tcPr>
          <w:p w14:paraId="00FB6CC8" w14:textId="77777777" w:rsidR="00041EA7" w:rsidRPr="003315FB" w:rsidRDefault="00041EA7" w:rsidP="003315FB">
            <w:pPr>
              <w:jc w:val="center"/>
              <w:rPr>
                <w:rFonts w:cstheme="minorHAnsi"/>
                <w:b w:val="0"/>
                <w:iCs/>
                <w:szCs w:val="28"/>
              </w:rPr>
            </w:pPr>
            <w:r w:rsidRPr="003315FB">
              <w:rPr>
                <w:rFonts w:cstheme="minorHAnsi"/>
                <w:b w:val="0"/>
                <w:iCs/>
                <w:szCs w:val="28"/>
              </w:rPr>
              <w:t>Community Living</w:t>
            </w:r>
          </w:p>
        </w:tc>
        <w:tc>
          <w:tcPr>
            <w:tcW w:w="2700" w:type="dxa"/>
          </w:tcPr>
          <w:p w14:paraId="4888E13D" w14:textId="77777777" w:rsidR="00041EA7" w:rsidRPr="003315FB" w:rsidRDefault="00041EA7" w:rsidP="003315FB">
            <w:pPr>
              <w:jc w:val="center"/>
              <w:rPr>
                <w:rFonts w:cstheme="minorHAnsi"/>
                <w:b w:val="0"/>
                <w:iCs/>
                <w:szCs w:val="28"/>
              </w:rPr>
            </w:pPr>
            <w:r w:rsidRPr="003315FB">
              <w:rPr>
                <w:rFonts w:cstheme="minorHAnsi"/>
                <w:b w:val="0"/>
                <w:iCs/>
                <w:szCs w:val="28"/>
              </w:rPr>
              <w:t>Total</w:t>
            </w:r>
          </w:p>
        </w:tc>
      </w:tr>
      <w:tr w:rsidR="00041EA7" w:rsidRPr="00036CB8" w14:paraId="6A22FCCF" w14:textId="77777777" w:rsidTr="003315FB">
        <w:trPr>
          <w:cnfStyle w:val="100000000000" w:firstRow="1" w:lastRow="0" w:firstColumn="0" w:lastColumn="0" w:oddVBand="0" w:evenVBand="0" w:oddHBand="0" w:evenHBand="0" w:firstRowFirstColumn="0" w:firstRowLastColumn="0" w:lastRowFirstColumn="0" w:lastRowLastColumn="0"/>
          <w:trHeight w:val="285"/>
        </w:trPr>
        <w:tc>
          <w:tcPr>
            <w:tcW w:w="1885" w:type="dxa"/>
          </w:tcPr>
          <w:p w14:paraId="16C3E718" w14:textId="77777777" w:rsidR="00041EA7" w:rsidRPr="00036CB8" w:rsidRDefault="009B31D3" w:rsidP="00CB24AB">
            <w:pPr>
              <w:jc w:val="center"/>
              <w:rPr>
                <w:rFonts w:cstheme="minorHAnsi"/>
                <w:b w:val="0"/>
                <w:szCs w:val="28"/>
              </w:rPr>
            </w:pPr>
            <w:r>
              <w:rPr>
                <w:rFonts w:cstheme="minorHAnsi"/>
                <w:szCs w:val="28"/>
              </w:rPr>
              <w:t>0</w:t>
            </w:r>
          </w:p>
        </w:tc>
        <w:tc>
          <w:tcPr>
            <w:tcW w:w="2430" w:type="dxa"/>
          </w:tcPr>
          <w:p w14:paraId="74854DD2" w14:textId="77777777" w:rsidR="00041EA7" w:rsidRPr="00036CB8" w:rsidRDefault="009B31D3" w:rsidP="00CB24AB">
            <w:pPr>
              <w:jc w:val="center"/>
              <w:rPr>
                <w:rFonts w:cstheme="minorHAnsi"/>
                <w:b w:val="0"/>
                <w:szCs w:val="28"/>
              </w:rPr>
            </w:pPr>
            <w:r>
              <w:rPr>
                <w:rFonts w:cstheme="minorHAnsi"/>
                <w:szCs w:val="28"/>
              </w:rPr>
              <w:t>85</w:t>
            </w:r>
          </w:p>
        </w:tc>
        <w:tc>
          <w:tcPr>
            <w:tcW w:w="2340" w:type="dxa"/>
          </w:tcPr>
          <w:p w14:paraId="390763C8" w14:textId="77777777" w:rsidR="00041EA7" w:rsidRPr="00036CB8" w:rsidRDefault="009B31D3" w:rsidP="00CB24AB">
            <w:pPr>
              <w:jc w:val="center"/>
              <w:rPr>
                <w:rFonts w:cstheme="minorHAnsi"/>
                <w:b w:val="0"/>
                <w:szCs w:val="28"/>
              </w:rPr>
            </w:pPr>
            <w:r>
              <w:rPr>
                <w:rFonts w:cstheme="minorHAnsi"/>
                <w:szCs w:val="28"/>
              </w:rPr>
              <w:t>134</w:t>
            </w:r>
          </w:p>
        </w:tc>
        <w:tc>
          <w:tcPr>
            <w:tcW w:w="2700" w:type="dxa"/>
          </w:tcPr>
          <w:p w14:paraId="6B8BB81C" w14:textId="77777777" w:rsidR="00041EA7" w:rsidRPr="00036CB8" w:rsidRDefault="009B31D3" w:rsidP="00CB24AB">
            <w:pPr>
              <w:jc w:val="center"/>
              <w:rPr>
                <w:rFonts w:cstheme="minorHAnsi"/>
                <w:b w:val="0"/>
                <w:szCs w:val="28"/>
              </w:rPr>
            </w:pPr>
            <w:r>
              <w:rPr>
                <w:rFonts w:cstheme="minorHAnsi"/>
                <w:szCs w:val="28"/>
              </w:rPr>
              <w:t>219</w:t>
            </w:r>
          </w:p>
        </w:tc>
      </w:tr>
    </w:tbl>
    <w:p w14:paraId="5B498E1A" w14:textId="12BBB6F7" w:rsidR="00F40453" w:rsidRDefault="00F40453" w:rsidP="00FD6AB9"/>
    <w:p w14:paraId="4666D787" w14:textId="77777777" w:rsidR="00F40453" w:rsidRDefault="00F40453">
      <w:r>
        <w:br w:type="page"/>
      </w:r>
    </w:p>
    <w:p w14:paraId="31547676" w14:textId="4FA9E084" w:rsidR="00F40453" w:rsidRDefault="00F40453" w:rsidP="00F40453">
      <w:pPr>
        <w:pStyle w:val="Heading1"/>
        <w:rPr>
          <w:rFonts w:eastAsia="Times New Roman"/>
        </w:rPr>
      </w:pPr>
      <w:r>
        <w:rPr>
          <w:rFonts w:eastAsia="Times New Roman"/>
        </w:rPr>
        <w:t>Access for All Report</w:t>
      </w:r>
    </w:p>
    <w:p w14:paraId="75ECAEA8" w14:textId="1D1B09D2"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 xml:space="preserve">Complete Years 1 and 2 and 3 initiatives; </w:t>
      </w:r>
    </w:p>
    <w:p w14:paraId="13F55E84" w14:textId="77777777" w:rsidR="00F40453" w:rsidRPr="00F40453" w:rsidRDefault="00F40453" w:rsidP="00F40453">
      <w:pPr>
        <w:numPr>
          <w:ilvl w:val="1"/>
          <w:numId w:val="14"/>
        </w:numPr>
        <w:spacing w:before="120" w:after="120" w:line="240" w:lineRule="auto"/>
        <w:contextualSpacing/>
        <w:rPr>
          <w:rFonts w:eastAsia="Times New Roman" w:cstheme="minorHAnsi"/>
          <w:szCs w:val="28"/>
        </w:rPr>
      </w:pPr>
      <w:r w:rsidRPr="00F40453">
        <w:rPr>
          <w:rFonts w:eastAsia="Times New Roman" w:cstheme="minorHAnsi"/>
          <w:szCs w:val="28"/>
        </w:rPr>
        <w:t>Continue outreach to other System Partners such as Oklahoma Career and Technology Education and OSU OKC; and the Oklahoma Employment Security Commission (OESC).</w:t>
      </w:r>
    </w:p>
    <w:p w14:paraId="4737AE9E" w14:textId="5D23A48F"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ABLE Tech trained a group of Board Area staff on accessibility in Microsoft Word in December 2020.</w:t>
      </w:r>
    </w:p>
    <w:p w14:paraId="3E32B3DF" w14:textId="5907D8F5"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ABLE Tech followed up on an assessment of the Oklahoma Career Guide with technical assistance to CareerTech and its vendor.</w:t>
      </w:r>
    </w:p>
    <w:p w14:paraId="3A2B4F00" w14:textId="3B6CE561"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 xml:space="preserve">ABLE Tech trained a group of 65 website managers from CareerTech in April 2020. </w:t>
      </w:r>
    </w:p>
    <w:p w14:paraId="2A827670" w14:textId="77777777"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For OOWD, ABLE Tech has been active in working with them to assess and account for accessibility in a few procurement and acquisition conversations. Recently, the focus is on a tool that would make it easier for Board Areas to schedule, run and record Board Meetings and engage with Board Members outside of meeting times. This work continues into the next project year.</w:t>
      </w:r>
    </w:p>
    <w:p w14:paraId="6A066C72" w14:textId="0F4DB3D9"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Discussed possible use of a software platform called Jobtimize that the Oklahoma Employment Security Commission considered licensing. We provided some feedback to the vendor directly. With OESC, we discussed our findings with then Executive Director Richard McPherson and discussed some strategic approaches to accounting for accessibility in the purchase and use decision more generally. OESC decided not to move forward with licensing the product.</w:t>
      </w:r>
    </w:p>
    <w:p w14:paraId="137B2F61" w14:textId="77777777"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Provide technical assistance to the Workforce Office regarding technology accessibility of a new website for the Oklahoma Works initiative to ensure that Oklahomans with disabilities can fully access all workforce resources contained on the website, which is designed to connect employers, employees and job seekers to information and programs that help build Oklahoma’s workforce;</w:t>
      </w:r>
    </w:p>
    <w:p w14:paraId="77D5472B"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As noted in last year’s report, this was done prior to the beginning of this project year.</w:t>
      </w:r>
    </w:p>
    <w:p w14:paraId="4C183FE5" w14:textId="32F93B0A"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Continue with the creation of employment-related tips and fact sheets;</w:t>
      </w:r>
    </w:p>
    <w:p w14:paraId="59581705"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Tips continue regularly on an every other week schedule.</w:t>
      </w:r>
    </w:p>
    <w:p w14:paraId="23780B10" w14:textId="4E5CE756"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Continue the train-the-trainer model with DRS employee representatives on Local Workforce Boards, one-stop operators and other core partner personnel to build capacity regarding Access for All initiatives with particular focus on the Access for All Certification process utilizing the Roadmap for Physical and Technology Accessibility Standards; A monthly webinar format will be utilized to complete this contract deliverable.</w:t>
      </w:r>
    </w:p>
    <w:p w14:paraId="4F4D1C09"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We have not had the opportunity to engage this audience during the contract year. As noted otherwise, though, we have trained Board Areas and provided them with technical assistance throughout the year.</w:t>
      </w:r>
    </w:p>
    <w:p w14:paraId="5C395A16" w14:textId="77777777"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Provide training to the Workforce System on the Access for All Certification process utilizing the Roadmap for Physical and Technology Accessibility Standards.   A face to face training format will be utilized across the established Workforce regions in Oklahoma during the first quarter of FY 18.  This training and technical assistance will support the American Job Center’s efforts in receiving both physical and technology certification under the Access for All initiative.</w:t>
      </w:r>
    </w:p>
    <w:p w14:paraId="1F41EF83" w14:textId="18880123"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Significant time and effort have gone into finishing a draft of the STAR rating rubric. The STAR task force presented the rubric to representatives from the Workforce Board Areas as well as the Oklahoma Rehabilitation Council and opened public comment periods for each group. We also presented the rubric to the System Oversight Subcommittee. These were vital steps in actually publishing and using the rubric as part of System Certification, which hopefully will happen this project year.</w:t>
      </w:r>
    </w:p>
    <w:p w14:paraId="3F8E2F2F" w14:textId="34A05496"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Feedback will be accounted for, though some specifics will be challenging to build in until we have a policy or two in place. Concerns are mostly on timeframes and specific metrics that will be used for rating purposes. We continue to discuss it as a task force.</w:t>
      </w:r>
    </w:p>
    <w:p w14:paraId="4CB4F990" w14:textId="05D9D32A"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 xml:space="preserve">OOWD plans to draft policy that will formalize the use of the STAR rating system. Due to the pandemic, this policy work could be delayed. The original timeline was to have a policy ready in the fall of 2021. </w:t>
      </w:r>
    </w:p>
    <w:p w14:paraId="55D6DAD5"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The task force created a draft Course Catalog that Board Areas can use to help them to identify training opportunities that will earn credit under the STAR rubric’s training measures. The Catalog includes technology accessibility resources. We continue to work on content as well as ratings for the material in the Catalog.</w:t>
      </w:r>
    </w:p>
    <w:p w14:paraId="2E960F32"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As a follow up to last year’s report, ABLE Tech did train the 4</w:t>
      </w:r>
      <w:r w:rsidRPr="00F40453">
        <w:rPr>
          <w:rFonts w:eastAsia="Times New Roman" w:cstheme="minorHAnsi"/>
          <w:b/>
          <w:bCs/>
          <w:szCs w:val="28"/>
          <w:vertAlign w:val="superscript"/>
        </w:rPr>
        <w:t>th</w:t>
      </w:r>
      <w:r w:rsidRPr="00F40453">
        <w:rPr>
          <w:rFonts w:eastAsia="Times New Roman" w:cstheme="minorHAnsi"/>
          <w:b/>
          <w:bCs/>
          <w:szCs w:val="28"/>
        </w:rPr>
        <w:t xml:space="preserve"> Board Area on using its new website as planned.</w:t>
      </w:r>
    </w:p>
    <w:p w14:paraId="4DD1C7A1" w14:textId="3EC2DC30" w:rsid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ABLE Tech worked with the Oklahoma Workforce Partners Conference planning committee until the event was first postponed, then canceled for this year. However, before the cancellation, we worked to improve accessibility in the conference program book and to do the same with the event speaker form. These can still be used in the future.</w:t>
      </w:r>
    </w:p>
    <w:p w14:paraId="5485F58D" w14:textId="28E5BC3F" w:rsidR="00F842C7" w:rsidRDefault="00F842C7" w:rsidP="00F40453">
      <w:pPr>
        <w:numPr>
          <w:ilvl w:val="1"/>
          <w:numId w:val="14"/>
        </w:numPr>
        <w:spacing w:before="120" w:after="120" w:line="240" w:lineRule="auto"/>
        <w:contextualSpacing/>
        <w:rPr>
          <w:rFonts w:eastAsia="Times New Roman" w:cstheme="minorHAnsi"/>
          <w:b/>
          <w:bCs/>
          <w:szCs w:val="28"/>
        </w:rPr>
      </w:pPr>
      <w:r>
        <w:rPr>
          <w:rFonts w:eastAsia="Times New Roman" w:cstheme="minorHAnsi"/>
          <w:b/>
          <w:bCs/>
          <w:szCs w:val="28"/>
        </w:rPr>
        <w:t>ABLE Tech worked with the Central Oklahoma Workforce Investment Board to make a referral form more accessible. This had a larger impact because other Board Areas in the state also use it.</w:t>
      </w:r>
    </w:p>
    <w:p w14:paraId="10737982" w14:textId="313746E2" w:rsidR="00F842C7" w:rsidRPr="00F40453" w:rsidRDefault="00F842C7" w:rsidP="00F40453">
      <w:pPr>
        <w:numPr>
          <w:ilvl w:val="1"/>
          <w:numId w:val="14"/>
        </w:numPr>
        <w:spacing w:before="120" w:after="120" w:line="240" w:lineRule="auto"/>
        <w:contextualSpacing/>
        <w:rPr>
          <w:rFonts w:eastAsia="Times New Roman" w:cstheme="minorHAnsi"/>
          <w:b/>
          <w:bCs/>
          <w:szCs w:val="28"/>
        </w:rPr>
      </w:pPr>
      <w:r>
        <w:rPr>
          <w:rFonts w:eastAsia="Times New Roman" w:cstheme="minorHAnsi"/>
          <w:b/>
          <w:bCs/>
          <w:szCs w:val="28"/>
        </w:rPr>
        <w:t>Finally, as the COVID-19 pandemic hit and Board Areas needed to post new information to their websites ABLE Tech helped with some design and content questions regarding accessibility during a crisis.</w:t>
      </w:r>
    </w:p>
    <w:p w14:paraId="03E45CDC" w14:textId="0AEE3F46"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Present the TechAccessOK Conference - the fourth in a series of annual technology accessibility conferences for web developers, policy administrators, purchasers, etc., to assure public accessibility of OK agencies, higher education institutions, and the career and technology education centers;</w:t>
      </w:r>
    </w:p>
    <w:p w14:paraId="6ACB1094"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This year’s event was presented via Zoom due to the COVID-10 pandemic. We provided 11 sessions over June 4</w:t>
      </w:r>
      <w:r w:rsidRPr="00F40453">
        <w:rPr>
          <w:rFonts w:eastAsia="Times New Roman" w:cstheme="minorHAnsi"/>
          <w:b/>
          <w:bCs/>
          <w:szCs w:val="28"/>
          <w:vertAlign w:val="superscript"/>
        </w:rPr>
        <w:t>th</w:t>
      </w:r>
      <w:r w:rsidRPr="00F40453">
        <w:rPr>
          <w:rFonts w:eastAsia="Times New Roman" w:cstheme="minorHAnsi"/>
          <w:b/>
          <w:bCs/>
          <w:szCs w:val="28"/>
        </w:rPr>
        <w:t xml:space="preserve"> and 5</w:t>
      </w:r>
      <w:r w:rsidRPr="00F40453">
        <w:rPr>
          <w:rFonts w:eastAsia="Times New Roman" w:cstheme="minorHAnsi"/>
          <w:b/>
          <w:bCs/>
          <w:szCs w:val="28"/>
          <w:vertAlign w:val="superscript"/>
        </w:rPr>
        <w:t>th</w:t>
      </w:r>
      <w:r w:rsidRPr="00F40453">
        <w:rPr>
          <w:rFonts w:eastAsia="Times New Roman" w:cstheme="minorHAnsi"/>
          <w:b/>
          <w:bCs/>
          <w:szCs w:val="28"/>
        </w:rPr>
        <w:t xml:space="preserve"> with speakers from around the United States and Canada. About 125 participated on June 4th and just over 100 on June 5</w:t>
      </w:r>
      <w:r w:rsidRPr="00F40453">
        <w:rPr>
          <w:rFonts w:eastAsia="Times New Roman" w:cstheme="minorHAnsi"/>
          <w:b/>
          <w:bCs/>
          <w:szCs w:val="28"/>
          <w:vertAlign w:val="superscript"/>
        </w:rPr>
        <w:t>th</w:t>
      </w:r>
      <w:r w:rsidRPr="00F40453">
        <w:rPr>
          <w:rFonts w:eastAsia="Times New Roman" w:cstheme="minorHAnsi"/>
          <w:b/>
          <w:bCs/>
          <w:szCs w:val="28"/>
        </w:rPr>
        <w:t>.</w:t>
      </w:r>
    </w:p>
    <w:p w14:paraId="0B47E180" w14:textId="77777777"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Implement a series of surveys developed by the national LEAD Center to assess the experience of:</w:t>
      </w:r>
    </w:p>
    <w:p w14:paraId="5FA295FC" w14:textId="77777777" w:rsidR="00F40453" w:rsidRPr="00F40453" w:rsidRDefault="00F40453" w:rsidP="00F40453">
      <w:pPr>
        <w:numPr>
          <w:ilvl w:val="1"/>
          <w:numId w:val="14"/>
        </w:numPr>
        <w:spacing w:before="120" w:after="120" w:line="240" w:lineRule="auto"/>
        <w:contextualSpacing/>
        <w:rPr>
          <w:rFonts w:eastAsia="Times New Roman" w:cstheme="minorHAnsi"/>
          <w:szCs w:val="28"/>
        </w:rPr>
      </w:pPr>
      <w:r w:rsidRPr="00F40453">
        <w:rPr>
          <w:rFonts w:eastAsia="Times New Roman" w:cstheme="minorHAnsi"/>
          <w:szCs w:val="28"/>
        </w:rPr>
        <w:t>Job seekers</w:t>
      </w:r>
    </w:p>
    <w:p w14:paraId="7B60BE02" w14:textId="77777777" w:rsidR="00F40453" w:rsidRPr="00F40453" w:rsidRDefault="00F40453" w:rsidP="00F40453">
      <w:pPr>
        <w:numPr>
          <w:ilvl w:val="1"/>
          <w:numId w:val="14"/>
        </w:numPr>
        <w:spacing w:before="120" w:after="120" w:line="240" w:lineRule="auto"/>
        <w:contextualSpacing/>
        <w:rPr>
          <w:rFonts w:eastAsia="Times New Roman" w:cstheme="minorHAnsi"/>
          <w:szCs w:val="28"/>
        </w:rPr>
      </w:pPr>
      <w:r w:rsidRPr="00F40453">
        <w:rPr>
          <w:rFonts w:eastAsia="Times New Roman" w:cstheme="minorHAnsi"/>
          <w:szCs w:val="28"/>
        </w:rPr>
        <w:t xml:space="preserve">Employers </w:t>
      </w:r>
    </w:p>
    <w:p w14:paraId="49664E48" w14:textId="77777777" w:rsidR="00F40453" w:rsidRPr="00F40453" w:rsidRDefault="00F40453" w:rsidP="00F40453">
      <w:pPr>
        <w:numPr>
          <w:ilvl w:val="1"/>
          <w:numId w:val="14"/>
        </w:numPr>
        <w:spacing w:before="120" w:after="120" w:line="240" w:lineRule="auto"/>
        <w:contextualSpacing/>
        <w:rPr>
          <w:rFonts w:eastAsia="Times New Roman" w:cstheme="minorHAnsi"/>
          <w:szCs w:val="28"/>
        </w:rPr>
      </w:pPr>
      <w:r w:rsidRPr="00F40453">
        <w:rPr>
          <w:rFonts w:eastAsia="Times New Roman" w:cstheme="minorHAnsi"/>
          <w:szCs w:val="28"/>
        </w:rPr>
        <w:t>American Job Center staff</w:t>
      </w:r>
    </w:p>
    <w:p w14:paraId="74D60E39" w14:textId="77777777" w:rsidR="00F40453" w:rsidRPr="00F40453" w:rsidRDefault="00F40453" w:rsidP="00F40453">
      <w:pPr>
        <w:numPr>
          <w:ilvl w:val="1"/>
          <w:numId w:val="14"/>
        </w:numPr>
        <w:spacing w:before="120" w:after="120" w:line="240" w:lineRule="auto"/>
        <w:contextualSpacing/>
        <w:rPr>
          <w:rFonts w:eastAsia="Times New Roman" w:cstheme="minorHAnsi"/>
          <w:szCs w:val="28"/>
        </w:rPr>
      </w:pPr>
      <w:r w:rsidRPr="00F40453">
        <w:rPr>
          <w:rFonts w:eastAsia="Times New Roman" w:cstheme="minorHAnsi"/>
          <w:szCs w:val="28"/>
        </w:rPr>
        <w:t xml:space="preserve">to determine their readiness and satisfaction with employers and the Oklahoma Works Workforce Development System;  </w:t>
      </w:r>
    </w:p>
    <w:p w14:paraId="52EC9A64" w14:textId="77777777" w:rsidR="00F40453" w:rsidRPr="00F40453" w:rsidRDefault="00F40453" w:rsidP="00F40453">
      <w:pPr>
        <w:numPr>
          <w:ilvl w:val="2"/>
          <w:numId w:val="14"/>
        </w:numPr>
        <w:spacing w:before="120" w:after="120" w:line="240" w:lineRule="auto"/>
        <w:contextualSpacing/>
        <w:rPr>
          <w:rFonts w:eastAsia="Times New Roman" w:cstheme="minorHAnsi"/>
          <w:szCs w:val="28"/>
        </w:rPr>
      </w:pPr>
      <w:r w:rsidRPr="00F40453">
        <w:rPr>
          <w:rFonts w:eastAsia="Times New Roman" w:cstheme="minorHAnsi"/>
          <w:szCs w:val="28"/>
        </w:rPr>
        <w:t>*The LEAD Center is a collaborative of disability, workforce and economic empowerment organization dedicated to improving employment and economic advancement outcomes for all people with disabilities – funded by the Office of Disability Employment Policy, U.S. Department of Labor.</w:t>
      </w:r>
    </w:p>
    <w:p w14:paraId="59EBC791" w14:textId="77777777"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Still waiting to introduce this Survey opportunity with the various Boards.</w:t>
      </w:r>
    </w:p>
    <w:p w14:paraId="4553EC54" w14:textId="70FE12A1"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Continue to work collaboratively with DRS to provide technical assistance and support to ACT regarding the accessibility of web-based versions of the ACT test and WorkKeys assessments in an effort to remove technological barriers for both students and job seekers with disabilities;   Accessibility standards have been defined by the World Wide Web Consortium (W3C) Web Accessibility Initiative (WAI).  The ultimate goal is to allow students and job seekers to participate independently and in the most integrated setting possible in compliance with nondiscrimination provisions.</w:t>
      </w:r>
    </w:p>
    <w:p w14:paraId="3F9E2683"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Nothing specific occurred during this past year.</w:t>
      </w:r>
    </w:p>
    <w:p w14:paraId="31383AD2" w14:textId="77777777"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Oklahoma ABLE Tech will use a new, enterprise-level automated accessibility testing tool from WebAIM called WAVE Plus. This testing platform will crawl through websites and run tests on entire sites or site subdomains. The platform will provide a detailed report of the accessibility barriers that it identifies, with specific details about where the barrier is identified, the nature of the barrier and relevant accessibility standards. In turn, Oklahoma ABLE Tech will provide this report to entities that own the website or web application and work with those entities to understand the findings documented in each report. Oklahoma ABLE Tech will also work with entities on remediation planning and, where necessary and/or desired, additional testing or technical assistance.</w:t>
      </w:r>
    </w:p>
    <w:p w14:paraId="55354BDA" w14:textId="77777777" w:rsidR="00F40453" w:rsidRPr="00F40453" w:rsidRDefault="00F40453" w:rsidP="00F40453">
      <w:pPr>
        <w:numPr>
          <w:ilvl w:val="1"/>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 xml:space="preserve">ABLE Tech continues to use this tool, Dynolitics, as part of its web accessibility assessment process. </w:t>
      </w:r>
    </w:p>
    <w:p w14:paraId="78ABC18F" w14:textId="77777777" w:rsidR="00F40453" w:rsidRPr="00F40453" w:rsidRDefault="00F40453" w:rsidP="00F40453">
      <w:pPr>
        <w:numPr>
          <w:ilvl w:val="0"/>
          <w:numId w:val="14"/>
        </w:numPr>
        <w:spacing w:before="120" w:after="120" w:line="240" w:lineRule="auto"/>
        <w:contextualSpacing/>
        <w:rPr>
          <w:rFonts w:eastAsia="Times New Roman" w:cstheme="minorHAnsi"/>
          <w:szCs w:val="28"/>
        </w:rPr>
      </w:pPr>
      <w:r w:rsidRPr="00F40453">
        <w:rPr>
          <w:rFonts w:eastAsia="Times New Roman" w:cstheme="minorHAnsi"/>
          <w:szCs w:val="28"/>
        </w:rPr>
        <w:t>II. The following two activities are related to the Workforce Innovation and Opportunity Act of 2014 Title IV – Amendments to the Rehabilitation Act, Sections 412 State Plans Cooperation, Collaboration and Coordination and Section 414 Vocational Rehabilitation which specifically addresses Vocational Rehabilitation’s Coordination with the Assistive Technology Act Program under the State Plan.</w:t>
      </w:r>
    </w:p>
    <w:p w14:paraId="702D8335" w14:textId="30FF8760" w:rsidR="00F40453" w:rsidRPr="00F40453" w:rsidRDefault="00F40453" w:rsidP="00F40453">
      <w:pPr>
        <w:numPr>
          <w:ilvl w:val="1"/>
          <w:numId w:val="14"/>
        </w:numPr>
        <w:spacing w:before="120" w:after="120" w:line="240" w:lineRule="auto"/>
        <w:contextualSpacing/>
        <w:rPr>
          <w:rFonts w:eastAsia="Times New Roman" w:cstheme="minorHAnsi"/>
          <w:szCs w:val="28"/>
        </w:rPr>
      </w:pPr>
      <w:r w:rsidRPr="00F40453">
        <w:rPr>
          <w:rFonts w:eastAsia="Times New Roman" w:cstheme="minorHAnsi"/>
          <w:szCs w:val="28"/>
        </w:rPr>
        <w:t xml:space="preserve">ABLE Tech will work in collaboration with DRS and the OK State Department of Education to support the Oklahoma School for the Deaf and the Oklahoma School for the Blind through in person training and technical assistance </w:t>
      </w:r>
      <w:r>
        <w:rPr>
          <w:rFonts w:eastAsia="Times New Roman" w:cstheme="minorHAnsi"/>
          <w:szCs w:val="28"/>
        </w:rPr>
        <w:t>to establish</w:t>
      </w:r>
      <w:r w:rsidRPr="00F40453">
        <w:rPr>
          <w:rFonts w:eastAsia="Times New Roman" w:cstheme="minorHAnsi"/>
          <w:szCs w:val="28"/>
        </w:rPr>
        <w:t xml:space="preserve"> AT Teams at each school.  Trained personnel at both sites will better understand how to deliver quality AT services under the Quality Indicators for Assistive Technology as they strive to develop and provide quality assistive technology services aligned to federal, state and local mandates.</w:t>
      </w:r>
    </w:p>
    <w:p w14:paraId="1D0F76A0" w14:textId="77777777" w:rsidR="00F40453" w:rsidRPr="00F40453" w:rsidRDefault="00F40453" w:rsidP="00F40453">
      <w:pPr>
        <w:numPr>
          <w:ilvl w:val="2"/>
          <w:numId w:val="14"/>
        </w:numPr>
        <w:spacing w:before="120" w:after="120" w:line="240" w:lineRule="auto"/>
        <w:contextualSpacing/>
        <w:rPr>
          <w:rFonts w:eastAsia="Times New Roman" w:cstheme="minorHAnsi"/>
          <w:b/>
          <w:bCs/>
          <w:szCs w:val="28"/>
        </w:rPr>
      </w:pPr>
      <w:r w:rsidRPr="00F40453">
        <w:rPr>
          <w:rFonts w:eastAsia="Times New Roman" w:cstheme="minorHAnsi"/>
          <w:b/>
          <w:bCs/>
          <w:szCs w:val="28"/>
        </w:rPr>
        <w:t>Both OSB and OSD sent AT Teams to a series of 3 AT Workshops during the fall of 2018.  All in attendance received certificates of completion.</w:t>
      </w:r>
    </w:p>
    <w:p w14:paraId="7546A107" w14:textId="77777777" w:rsidR="00F40453" w:rsidRPr="00F40453" w:rsidRDefault="00F40453" w:rsidP="00F40453">
      <w:pPr>
        <w:numPr>
          <w:ilvl w:val="1"/>
          <w:numId w:val="14"/>
        </w:numPr>
        <w:spacing w:before="120" w:after="120" w:line="240" w:lineRule="auto"/>
        <w:contextualSpacing/>
        <w:rPr>
          <w:rFonts w:eastAsia="Times New Roman" w:cstheme="minorHAnsi"/>
          <w:szCs w:val="28"/>
        </w:rPr>
      </w:pPr>
      <w:r w:rsidRPr="00F40453">
        <w:rPr>
          <w:rFonts w:eastAsia="Times New Roman" w:cstheme="minorHAnsi"/>
          <w:szCs w:val="28"/>
        </w:rPr>
        <w:t>ABLE Tech will work in collaboration with DRS to offer a durable medical equipment (DME) Reuse Program.  This new program is designed to reuse DME that is no longer needed and reassign it to Oklahoma residents who are in need at no cost.  Donated equipment will be retrieved, sanitized and refurbished in order to return the equipment to peak performance.  Should repairs be needed, the program will work with DME vendors to ensure quality and reassign the DME to the best matched eligible client.</w:t>
      </w:r>
    </w:p>
    <w:p w14:paraId="1F6C245D" w14:textId="65F6A07E" w:rsidR="00FD6AB9" w:rsidRPr="00F40453" w:rsidRDefault="00F40453" w:rsidP="009F0321">
      <w:pPr>
        <w:numPr>
          <w:ilvl w:val="2"/>
          <w:numId w:val="14"/>
        </w:numPr>
        <w:spacing w:before="120" w:after="0" w:line="240" w:lineRule="auto"/>
        <w:contextualSpacing/>
        <w:rPr>
          <w:rFonts w:cstheme="minorHAnsi"/>
          <w:szCs w:val="28"/>
        </w:rPr>
      </w:pPr>
      <w:r w:rsidRPr="00F40453">
        <w:rPr>
          <w:rFonts w:eastAsia="Times New Roman" w:cstheme="minorHAnsi"/>
          <w:b/>
          <w:bCs/>
          <w:szCs w:val="28"/>
        </w:rPr>
        <w:t>This activity has been discussed but no specifics have yet been developed with OKDRS.</w:t>
      </w:r>
    </w:p>
    <w:sectPr w:rsidR="00FD6AB9" w:rsidRPr="00F40453" w:rsidSect="007A3AAC">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859A" w14:textId="77777777" w:rsidR="00A55700" w:rsidRDefault="00A55700" w:rsidP="00FD6AB9">
      <w:pPr>
        <w:spacing w:after="0" w:line="240" w:lineRule="auto"/>
      </w:pPr>
      <w:r>
        <w:separator/>
      </w:r>
    </w:p>
  </w:endnote>
  <w:endnote w:type="continuationSeparator" w:id="0">
    <w:p w14:paraId="536C95AC" w14:textId="77777777" w:rsidR="00A55700" w:rsidRDefault="00A55700" w:rsidP="00FD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A453" w14:textId="77777777" w:rsidR="00A55700" w:rsidRDefault="00A55700" w:rsidP="00FD6AB9">
      <w:pPr>
        <w:spacing w:after="0" w:line="240" w:lineRule="auto"/>
      </w:pPr>
      <w:r>
        <w:separator/>
      </w:r>
    </w:p>
  </w:footnote>
  <w:footnote w:type="continuationSeparator" w:id="0">
    <w:p w14:paraId="5EB19293" w14:textId="77777777" w:rsidR="00A55700" w:rsidRDefault="00A55700" w:rsidP="00FD6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05217"/>
    <w:multiLevelType w:val="hybridMultilevel"/>
    <w:tmpl w:val="2C588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16B90"/>
    <w:multiLevelType w:val="hybridMultilevel"/>
    <w:tmpl w:val="76B0E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CCA693F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F7615A"/>
    <w:multiLevelType w:val="hybridMultilevel"/>
    <w:tmpl w:val="1E6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846EC"/>
    <w:multiLevelType w:val="hybridMultilevel"/>
    <w:tmpl w:val="59B4A8CA"/>
    <w:lvl w:ilvl="0" w:tplc="0054F91E">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C75DC0"/>
    <w:multiLevelType w:val="hybridMultilevel"/>
    <w:tmpl w:val="334AF0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051AA"/>
    <w:multiLevelType w:val="hybridMultilevel"/>
    <w:tmpl w:val="398039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278C2"/>
    <w:multiLevelType w:val="hybridMultilevel"/>
    <w:tmpl w:val="0FB859D0"/>
    <w:lvl w:ilvl="0" w:tplc="F0F0E90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16DCB"/>
    <w:multiLevelType w:val="hybridMultilevel"/>
    <w:tmpl w:val="BDDC5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111FE"/>
    <w:multiLevelType w:val="hybridMultilevel"/>
    <w:tmpl w:val="CAA004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276160"/>
    <w:multiLevelType w:val="hybridMultilevel"/>
    <w:tmpl w:val="4A90CDAC"/>
    <w:lvl w:ilvl="0" w:tplc="04090001">
      <w:start w:val="5"/>
      <w:numFmt w:val="bullet"/>
      <w:lvlText w:val=""/>
      <w:lvlJc w:val="left"/>
      <w:pPr>
        <w:ind w:left="1800" w:hanging="360"/>
      </w:pPr>
      <w:rPr>
        <w:rFonts w:ascii="Symbol" w:eastAsia="Times New Roman" w:hAnsi="Symbol"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020675"/>
    <w:multiLevelType w:val="hybridMultilevel"/>
    <w:tmpl w:val="B08E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1AF32A5"/>
    <w:multiLevelType w:val="hybridMultilevel"/>
    <w:tmpl w:val="5C62A9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2E1FF3"/>
    <w:multiLevelType w:val="hybridMultilevel"/>
    <w:tmpl w:val="E084C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80033"/>
    <w:multiLevelType w:val="hybridMultilevel"/>
    <w:tmpl w:val="768C6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2"/>
  </w:num>
  <w:num w:numId="5">
    <w:abstractNumId w:val="9"/>
  </w:num>
  <w:num w:numId="6">
    <w:abstractNumId w:val="3"/>
  </w:num>
  <w:num w:numId="7">
    <w:abstractNumId w:val="8"/>
  </w:num>
  <w:num w:numId="8">
    <w:abstractNumId w:val="11"/>
  </w:num>
  <w:num w:numId="9">
    <w:abstractNumId w:val="5"/>
  </w:num>
  <w:num w:numId="10">
    <w:abstractNumId w:val="0"/>
  </w:num>
  <w:num w:numId="11">
    <w:abstractNumId w:val="7"/>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CE"/>
    <w:rsid w:val="0000671B"/>
    <w:rsid w:val="00036CB8"/>
    <w:rsid w:val="00041EA7"/>
    <w:rsid w:val="00072B70"/>
    <w:rsid w:val="000860E7"/>
    <w:rsid w:val="000A76BA"/>
    <w:rsid w:val="000E7D03"/>
    <w:rsid w:val="000F3493"/>
    <w:rsid w:val="00133561"/>
    <w:rsid w:val="0014275C"/>
    <w:rsid w:val="0016517B"/>
    <w:rsid w:val="0018116B"/>
    <w:rsid w:val="0018716F"/>
    <w:rsid w:val="002017BB"/>
    <w:rsid w:val="00226F3A"/>
    <w:rsid w:val="00273A2B"/>
    <w:rsid w:val="00281A31"/>
    <w:rsid w:val="002B5174"/>
    <w:rsid w:val="002D559B"/>
    <w:rsid w:val="003017D6"/>
    <w:rsid w:val="00320C25"/>
    <w:rsid w:val="003315FB"/>
    <w:rsid w:val="00337540"/>
    <w:rsid w:val="003932A8"/>
    <w:rsid w:val="003942E8"/>
    <w:rsid w:val="003F6ECE"/>
    <w:rsid w:val="004141F6"/>
    <w:rsid w:val="00452F45"/>
    <w:rsid w:val="004D4673"/>
    <w:rsid w:val="004E6800"/>
    <w:rsid w:val="00583BA6"/>
    <w:rsid w:val="00594792"/>
    <w:rsid w:val="005C4209"/>
    <w:rsid w:val="005E311E"/>
    <w:rsid w:val="005E4714"/>
    <w:rsid w:val="005F1A59"/>
    <w:rsid w:val="0068221D"/>
    <w:rsid w:val="006A0B5A"/>
    <w:rsid w:val="007123D4"/>
    <w:rsid w:val="007303DE"/>
    <w:rsid w:val="00762CDA"/>
    <w:rsid w:val="00770FDD"/>
    <w:rsid w:val="00780BE6"/>
    <w:rsid w:val="00785520"/>
    <w:rsid w:val="007A2C72"/>
    <w:rsid w:val="007A3AAC"/>
    <w:rsid w:val="007E3CE1"/>
    <w:rsid w:val="00816AA0"/>
    <w:rsid w:val="00853EA9"/>
    <w:rsid w:val="008707D5"/>
    <w:rsid w:val="0089137B"/>
    <w:rsid w:val="008E394E"/>
    <w:rsid w:val="0091377C"/>
    <w:rsid w:val="00957E34"/>
    <w:rsid w:val="0097335E"/>
    <w:rsid w:val="00990712"/>
    <w:rsid w:val="009B20DC"/>
    <w:rsid w:val="009B31D3"/>
    <w:rsid w:val="009D36F6"/>
    <w:rsid w:val="00A55700"/>
    <w:rsid w:val="00A572A2"/>
    <w:rsid w:val="00AB443E"/>
    <w:rsid w:val="00AC4D40"/>
    <w:rsid w:val="00AD30F6"/>
    <w:rsid w:val="00AF0FEF"/>
    <w:rsid w:val="00B073B0"/>
    <w:rsid w:val="00B83648"/>
    <w:rsid w:val="00BA2F8C"/>
    <w:rsid w:val="00BC7BB9"/>
    <w:rsid w:val="00BD060B"/>
    <w:rsid w:val="00C33C11"/>
    <w:rsid w:val="00C40988"/>
    <w:rsid w:val="00C47BBF"/>
    <w:rsid w:val="00C5017B"/>
    <w:rsid w:val="00C7560D"/>
    <w:rsid w:val="00C96BD0"/>
    <w:rsid w:val="00CB24AB"/>
    <w:rsid w:val="00D10780"/>
    <w:rsid w:val="00D26FD7"/>
    <w:rsid w:val="00D36561"/>
    <w:rsid w:val="00D40A7A"/>
    <w:rsid w:val="00D47266"/>
    <w:rsid w:val="00DA2E6B"/>
    <w:rsid w:val="00DC40C9"/>
    <w:rsid w:val="00E058D6"/>
    <w:rsid w:val="00E415E5"/>
    <w:rsid w:val="00E5284C"/>
    <w:rsid w:val="00E601D5"/>
    <w:rsid w:val="00EB131C"/>
    <w:rsid w:val="00F02FB6"/>
    <w:rsid w:val="00F40453"/>
    <w:rsid w:val="00F57C63"/>
    <w:rsid w:val="00F816DF"/>
    <w:rsid w:val="00F82418"/>
    <w:rsid w:val="00F842C7"/>
    <w:rsid w:val="00FC6B78"/>
    <w:rsid w:val="00FD0D53"/>
    <w:rsid w:val="00FD6AB9"/>
    <w:rsid w:val="00FE0FEF"/>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9C50"/>
  <w15:chartTrackingRefBased/>
  <w15:docId w15:val="{1A3DB73F-0A88-4BED-9FC5-4148303A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B9"/>
    <w:rPr>
      <w:sz w:val="28"/>
    </w:rPr>
  </w:style>
  <w:style w:type="paragraph" w:styleId="Heading1">
    <w:name w:val="heading 1"/>
    <w:basedOn w:val="Normal"/>
    <w:next w:val="Normal"/>
    <w:link w:val="Heading1Char"/>
    <w:uiPriority w:val="9"/>
    <w:qFormat/>
    <w:rsid w:val="00273A2B"/>
    <w:pPr>
      <w:keepNext/>
      <w:keepLines/>
      <w:spacing w:before="120" w:after="120"/>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next w:val="Normal"/>
    <w:link w:val="Heading2Char"/>
    <w:uiPriority w:val="9"/>
    <w:unhideWhenUsed/>
    <w:qFormat/>
    <w:rsid w:val="00273A2B"/>
    <w:pPr>
      <w:keepNext/>
      <w:keepLines/>
      <w:spacing w:before="120" w:after="120"/>
      <w:outlineLvl w:val="1"/>
    </w:pPr>
    <w:rPr>
      <w:rFonts w:asciiTheme="majorHAnsi" w:eastAsiaTheme="majorEastAsia" w:hAnsiTheme="majorHAnsi" w:cstheme="majorBidi"/>
      <w:b/>
      <w:color w:val="262626" w:themeColor="text1" w:themeTint="D9"/>
      <w:sz w:val="32"/>
      <w:szCs w:val="28"/>
    </w:rPr>
  </w:style>
  <w:style w:type="paragraph" w:styleId="Heading3">
    <w:name w:val="heading 3"/>
    <w:basedOn w:val="Normal"/>
    <w:next w:val="Normal"/>
    <w:link w:val="Heading3Char"/>
    <w:uiPriority w:val="9"/>
    <w:unhideWhenUsed/>
    <w:qFormat/>
    <w:rsid w:val="00CB24AB"/>
    <w:pPr>
      <w:keepNext/>
      <w:keepLines/>
      <w:spacing w:before="40" w:after="0"/>
      <w:outlineLvl w:val="2"/>
    </w:pPr>
    <w:rPr>
      <w:rFonts w:asciiTheme="majorHAnsi" w:eastAsiaTheme="majorEastAsia" w:hAnsiTheme="majorHAnsi" w:cstheme="majorBidi"/>
      <w:b/>
      <w:color w:val="2E74B5" w:themeColor="accent1" w:themeShade="BF"/>
      <w:sz w:val="32"/>
      <w:szCs w:val="24"/>
    </w:rPr>
  </w:style>
  <w:style w:type="paragraph" w:styleId="Heading4">
    <w:name w:val="heading 4"/>
    <w:basedOn w:val="Normal"/>
    <w:next w:val="Normal"/>
    <w:link w:val="Heading4Char"/>
    <w:uiPriority w:val="9"/>
    <w:semiHidden/>
    <w:unhideWhenUsed/>
    <w:qFormat/>
    <w:rsid w:val="00BC7BB9"/>
    <w:pPr>
      <w:keepNext/>
      <w:keepLines/>
      <w:spacing w:before="40" w:after="0"/>
      <w:outlineLvl w:val="3"/>
    </w:pPr>
    <w:rPr>
      <w:rFonts w:asciiTheme="majorHAnsi" w:eastAsiaTheme="majorEastAsia" w:hAnsiTheme="majorHAnsi" w:cstheme="majorBidi"/>
      <w:i/>
      <w:iCs/>
      <w:color w:val="404040" w:themeColor="text1" w:themeTint="BF"/>
      <w:sz w:val="22"/>
    </w:rPr>
  </w:style>
  <w:style w:type="paragraph" w:styleId="Heading5">
    <w:name w:val="heading 5"/>
    <w:basedOn w:val="Normal"/>
    <w:next w:val="Normal"/>
    <w:link w:val="Heading5Char"/>
    <w:uiPriority w:val="9"/>
    <w:semiHidden/>
    <w:unhideWhenUsed/>
    <w:qFormat/>
    <w:rsid w:val="00BC7BB9"/>
    <w:pPr>
      <w:keepNext/>
      <w:keepLines/>
      <w:spacing w:before="40" w:after="0"/>
      <w:outlineLvl w:val="4"/>
    </w:pPr>
    <w:rPr>
      <w:rFonts w:asciiTheme="majorHAnsi" w:eastAsiaTheme="majorEastAsia" w:hAnsiTheme="majorHAnsi" w:cstheme="majorBidi"/>
      <w:color w:val="404040" w:themeColor="text1" w:themeTint="BF"/>
      <w:sz w:val="22"/>
    </w:rPr>
  </w:style>
  <w:style w:type="paragraph" w:styleId="Heading6">
    <w:name w:val="heading 6"/>
    <w:basedOn w:val="Normal"/>
    <w:next w:val="Normal"/>
    <w:link w:val="Heading6Char"/>
    <w:uiPriority w:val="9"/>
    <w:semiHidden/>
    <w:unhideWhenUsed/>
    <w:qFormat/>
    <w:rsid w:val="00BC7BB9"/>
    <w:pPr>
      <w:keepNext/>
      <w:keepLines/>
      <w:spacing w:before="40" w:after="0"/>
      <w:outlineLvl w:val="5"/>
    </w:pPr>
    <w:rPr>
      <w:rFonts w:asciiTheme="majorHAnsi" w:eastAsiaTheme="majorEastAsia" w:hAnsiTheme="majorHAnsi" w:cstheme="majorBidi"/>
      <w:sz w:val="22"/>
    </w:rPr>
  </w:style>
  <w:style w:type="paragraph" w:styleId="Heading7">
    <w:name w:val="heading 7"/>
    <w:basedOn w:val="Normal"/>
    <w:next w:val="Normal"/>
    <w:link w:val="Heading7Char"/>
    <w:uiPriority w:val="9"/>
    <w:semiHidden/>
    <w:unhideWhenUsed/>
    <w:qFormat/>
    <w:rsid w:val="00BC7BB9"/>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BC7BB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C7BB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6ECE"/>
    <w:rPr>
      <w:color w:val="0000FF"/>
      <w:u w:val="single"/>
    </w:rPr>
  </w:style>
  <w:style w:type="paragraph" w:customStyle="1" w:styleId="Pa0">
    <w:name w:val="Pa0"/>
    <w:basedOn w:val="Normal"/>
    <w:next w:val="Normal"/>
    <w:uiPriority w:val="99"/>
    <w:rsid w:val="003F6ECE"/>
    <w:pPr>
      <w:autoSpaceDE w:val="0"/>
      <w:autoSpaceDN w:val="0"/>
      <w:adjustRightInd w:val="0"/>
      <w:spacing w:line="281" w:lineRule="atLeast"/>
    </w:pPr>
    <w:rPr>
      <w:rFonts w:ascii="Arial" w:eastAsia="Calibri" w:hAnsi="Arial" w:cs="Arial"/>
    </w:rPr>
  </w:style>
  <w:style w:type="character" w:customStyle="1" w:styleId="A2">
    <w:name w:val="A2"/>
    <w:uiPriority w:val="99"/>
    <w:rsid w:val="003F6ECE"/>
    <w:rPr>
      <w:color w:val="000000"/>
    </w:rPr>
  </w:style>
  <w:style w:type="paragraph" w:styleId="ListParagraph">
    <w:name w:val="List Paragraph"/>
    <w:basedOn w:val="Normal"/>
    <w:uiPriority w:val="34"/>
    <w:qFormat/>
    <w:rsid w:val="00BC7BB9"/>
    <w:pPr>
      <w:ind w:left="720"/>
      <w:contextualSpacing/>
    </w:pPr>
  </w:style>
  <w:style w:type="character" w:customStyle="1" w:styleId="Heading1Char">
    <w:name w:val="Heading 1 Char"/>
    <w:basedOn w:val="DefaultParagraphFont"/>
    <w:link w:val="Heading1"/>
    <w:uiPriority w:val="9"/>
    <w:rsid w:val="00273A2B"/>
    <w:rPr>
      <w:rFonts w:asciiTheme="majorHAnsi" w:eastAsiaTheme="majorEastAsia" w:hAnsiTheme="majorHAnsi" w:cstheme="majorBidi"/>
      <w:b/>
      <w:color w:val="262626" w:themeColor="text1" w:themeTint="D9"/>
      <w:sz w:val="36"/>
      <w:szCs w:val="32"/>
    </w:rPr>
  </w:style>
  <w:style w:type="character" w:customStyle="1" w:styleId="Heading2Char">
    <w:name w:val="Heading 2 Char"/>
    <w:basedOn w:val="DefaultParagraphFont"/>
    <w:link w:val="Heading2"/>
    <w:uiPriority w:val="9"/>
    <w:rsid w:val="00273A2B"/>
    <w:rPr>
      <w:rFonts w:asciiTheme="majorHAnsi" w:eastAsiaTheme="majorEastAsia" w:hAnsiTheme="majorHAnsi" w:cstheme="majorBidi"/>
      <w:b/>
      <w:color w:val="262626" w:themeColor="text1" w:themeTint="D9"/>
      <w:sz w:val="32"/>
      <w:szCs w:val="28"/>
    </w:rPr>
  </w:style>
  <w:style w:type="character" w:customStyle="1" w:styleId="Heading3Char">
    <w:name w:val="Heading 3 Char"/>
    <w:basedOn w:val="DefaultParagraphFont"/>
    <w:link w:val="Heading3"/>
    <w:uiPriority w:val="9"/>
    <w:rsid w:val="00CB24AB"/>
    <w:rPr>
      <w:rFonts w:asciiTheme="majorHAnsi" w:eastAsiaTheme="majorEastAsia" w:hAnsiTheme="majorHAnsi" w:cstheme="majorBidi"/>
      <w:b/>
      <w:color w:val="2E74B5" w:themeColor="accent1" w:themeShade="BF"/>
      <w:sz w:val="32"/>
      <w:szCs w:val="24"/>
    </w:rPr>
  </w:style>
  <w:style w:type="character" w:customStyle="1" w:styleId="Heading4Char">
    <w:name w:val="Heading 4 Char"/>
    <w:basedOn w:val="DefaultParagraphFont"/>
    <w:link w:val="Heading4"/>
    <w:uiPriority w:val="9"/>
    <w:semiHidden/>
    <w:rsid w:val="00BC7BB9"/>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C7BB9"/>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C7BB9"/>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C7B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7BB9"/>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C7BB9"/>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C7BB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C7BB9"/>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C7BB9"/>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C7BB9"/>
    <w:pPr>
      <w:numPr>
        <w:ilvl w:val="1"/>
      </w:numPr>
    </w:pPr>
    <w:rPr>
      <w:color w:val="5A5A5A" w:themeColor="text1" w:themeTint="A5"/>
      <w:spacing w:val="15"/>
      <w:sz w:val="22"/>
    </w:rPr>
  </w:style>
  <w:style w:type="character" w:customStyle="1" w:styleId="SubtitleChar">
    <w:name w:val="Subtitle Char"/>
    <w:basedOn w:val="DefaultParagraphFont"/>
    <w:link w:val="Subtitle"/>
    <w:uiPriority w:val="11"/>
    <w:rsid w:val="00BC7BB9"/>
    <w:rPr>
      <w:color w:val="5A5A5A" w:themeColor="text1" w:themeTint="A5"/>
      <w:spacing w:val="15"/>
    </w:rPr>
  </w:style>
  <w:style w:type="character" w:styleId="Strong">
    <w:name w:val="Strong"/>
    <w:basedOn w:val="DefaultParagraphFont"/>
    <w:uiPriority w:val="22"/>
    <w:qFormat/>
    <w:rsid w:val="00BC7BB9"/>
    <w:rPr>
      <w:b/>
      <w:bCs/>
      <w:color w:val="auto"/>
    </w:rPr>
  </w:style>
  <w:style w:type="character" w:styleId="Emphasis">
    <w:name w:val="Emphasis"/>
    <w:basedOn w:val="DefaultParagraphFont"/>
    <w:uiPriority w:val="20"/>
    <w:qFormat/>
    <w:rsid w:val="00BC7BB9"/>
    <w:rPr>
      <w:i/>
      <w:iCs/>
      <w:color w:val="auto"/>
    </w:rPr>
  </w:style>
  <w:style w:type="paragraph" w:styleId="NoSpacing">
    <w:name w:val="No Spacing"/>
    <w:uiPriority w:val="1"/>
    <w:qFormat/>
    <w:rsid w:val="00BC7BB9"/>
    <w:pPr>
      <w:spacing w:after="0" w:line="240" w:lineRule="auto"/>
    </w:pPr>
  </w:style>
  <w:style w:type="paragraph" w:styleId="Quote">
    <w:name w:val="Quote"/>
    <w:basedOn w:val="Normal"/>
    <w:next w:val="Normal"/>
    <w:link w:val="QuoteChar"/>
    <w:uiPriority w:val="29"/>
    <w:qFormat/>
    <w:rsid w:val="00BC7BB9"/>
    <w:pPr>
      <w:spacing w:before="200"/>
      <w:ind w:left="864" w:right="864"/>
    </w:pPr>
    <w:rPr>
      <w:i/>
      <w:iCs/>
      <w:color w:val="404040" w:themeColor="text1" w:themeTint="BF"/>
      <w:sz w:val="22"/>
    </w:rPr>
  </w:style>
  <w:style w:type="character" w:customStyle="1" w:styleId="QuoteChar">
    <w:name w:val="Quote Char"/>
    <w:basedOn w:val="DefaultParagraphFont"/>
    <w:link w:val="Quote"/>
    <w:uiPriority w:val="29"/>
    <w:rsid w:val="00BC7BB9"/>
    <w:rPr>
      <w:i/>
      <w:iCs/>
      <w:color w:val="404040" w:themeColor="text1" w:themeTint="BF"/>
    </w:rPr>
  </w:style>
  <w:style w:type="paragraph" w:styleId="IntenseQuote">
    <w:name w:val="Intense Quote"/>
    <w:basedOn w:val="Normal"/>
    <w:next w:val="Normal"/>
    <w:link w:val="IntenseQuoteChar"/>
    <w:uiPriority w:val="30"/>
    <w:qFormat/>
    <w:rsid w:val="00BC7BB9"/>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IntenseQuoteChar">
    <w:name w:val="Intense Quote Char"/>
    <w:basedOn w:val="DefaultParagraphFont"/>
    <w:link w:val="IntenseQuote"/>
    <w:uiPriority w:val="30"/>
    <w:rsid w:val="00BC7BB9"/>
    <w:rPr>
      <w:i/>
      <w:iCs/>
      <w:color w:val="404040" w:themeColor="text1" w:themeTint="BF"/>
    </w:rPr>
  </w:style>
  <w:style w:type="character" w:styleId="SubtleEmphasis">
    <w:name w:val="Subtle Emphasis"/>
    <w:basedOn w:val="DefaultParagraphFont"/>
    <w:uiPriority w:val="19"/>
    <w:qFormat/>
    <w:rsid w:val="00BC7BB9"/>
    <w:rPr>
      <w:i/>
      <w:iCs/>
      <w:color w:val="404040" w:themeColor="text1" w:themeTint="BF"/>
    </w:rPr>
  </w:style>
  <w:style w:type="character" w:styleId="IntenseEmphasis">
    <w:name w:val="Intense Emphasis"/>
    <w:basedOn w:val="DefaultParagraphFont"/>
    <w:uiPriority w:val="21"/>
    <w:qFormat/>
    <w:rsid w:val="00BC7BB9"/>
    <w:rPr>
      <w:b/>
      <w:bCs/>
      <w:i/>
      <w:iCs/>
      <w:color w:val="auto"/>
    </w:rPr>
  </w:style>
  <w:style w:type="character" w:styleId="SubtleReference">
    <w:name w:val="Subtle Reference"/>
    <w:basedOn w:val="DefaultParagraphFont"/>
    <w:uiPriority w:val="31"/>
    <w:qFormat/>
    <w:rsid w:val="00BC7BB9"/>
    <w:rPr>
      <w:smallCaps/>
      <w:color w:val="404040" w:themeColor="text1" w:themeTint="BF"/>
    </w:rPr>
  </w:style>
  <w:style w:type="character" w:styleId="IntenseReference">
    <w:name w:val="Intense Reference"/>
    <w:basedOn w:val="DefaultParagraphFont"/>
    <w:uiPriority w:val="32"/>
    <w:qFormat/>
    <w:rsid w:val="00BC7BB9"/>
    <w:rPr>
      <w:b/>
      <w:bCs/>
      <w:smallCaps/>
      <w:color w:val="404040" w:themeColor="text1" w:themeTint="BF"/>
      <w:spacing w:val="5"/>
    </w:rPr>
  </w:style>
  <w:style w:type="character" w:styleId="BookTitle">
    <w:name w:val="Book Title"/>
    <w:basedOn w:val="DefaultParagraphFont"/>
    <w:uiPriority w:val="33"/>
    <w:qFormat/>
    <w:rsid w:val="00BC7BB9"/>
    <w:rPr>
      <w:b/>
      <w:bCs/>
      <w:i/>
      <w:iCs/>
      <w:spacing w:val="5"/>
    </w:rPr>
  </w:style>
  <w:style w:type="paragraph" w:styleId="TOCHeading">
    <w:name w:val="TOC Heading"/>
    <w:basedOn w:val="Heading1"/>
    <w:next w:val="Normal"/>
    <w:uiPriority w:val="39"/>
    <w:semiHidden/>
    <w:unhideWhenUsed/>
    <w:qFormat/>
    <w:rsid w:val="00BC7BB9"/>
    <w:pPr>
      <w:outlineLvl w:val="9"/>
    </w:pPr>
  </w:style>
  <w:style w:type="paragraph" w:styleId="BalloonText">
    <w:name w:val="Balloon Text"/>
    <w:basedOn w:val="Normal"/>
    <w:link w:val="BalloonTextChar"/>
    <w:uiPriority w:val="99"/>
    <w:semiHidden/>
    <w:unhideWhenUsed/>
    <w:rsid w:val="00BC7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BB9"/>
    <w:rPr>
      <w:rFonts w:ascii="Segoe UI" w:hAnsi="Segoe UI" w:cs="Segoe UI"/>
      <w:sz w:val="18"/>
      <w:szCs w:val="18"/>
    </w:rPr>
  </w:style>
  <w:style w:type="character" w:styleId="CommentReference">
    <w:name w:val="annotation reference"/>
    <w:basedOn w:val="DefaultParagraphFont"/>
    <w:uiPriority w:val="99"/>
    <w:semiHidden/>
    <w:unhideWhenUsed/>
    <w:rsid w:val="00FF79AC"/>
    <w:rPr>
      <w:sz w:val="16"/>
      <w:szCs w:val="16"/>
    </w:rPr>
  </w:style>
  <w:style w:type="paragraph" w:styleId="CommentText">
    <w:name w:val="annotation text"/>
    <w:basedOn w:val="Normal"/>
    <w:link w:val="CommentTextChar"/>
    <w:uiPriority w:val="99"/>
    <w:semiHidden/>
    <w:unhideWhenUsed/>
    <w:rsid w:val="00FF79AC"/>
    <w:pPr>
      <w:spacing w:line="240" w:lineRule="auto"/>
    </w:pPr>
    <w:rPr>
      <w:sz w:val="20"/>
      <w:szCs w:val="20"/>
    </w:rPr>
  </w:style>
  <w:style w:type="character" w:customStyle="1" w:styleId="CommentTextChar">
    <w:name w:val="Comment Text Char"/>
    <w:basedOn w:val="DefaultParagraphFont"/>
    <w:link w:val="CommentText"/>
    <w:uiPriority w:val="99"/>
    <w:semiHidden/>
    <w:rsid w:val="00FF79AC"/>
    <w:rPr>
      <w:sz w:val="20"/>
      <w:szCs w:val="20"/>
    </w:rPr>
  </w:style>
  <w:style w:type="paragraph" w:styleId="CommentSubject">
    <w:name w:val="annotation subject"/>
    <w:basedOn w:val="CommentText"/>
    <w:next w:val="CommentText"/>
    <w:link w:val="CommentSubjectChar"/>
    <w:uiPriority w:val="99"/>
    <w:semiHidden/>
    <w:unhideWhenUsed/>
    <w:rsid w:val="00FF79AC"/>
    <w:rPr>
      <w:b/>
      <w:bCs/>
    </w:rPr>
  </w:style>
  <w:style w:type="character" w:customStyle="1" w:styleId="CommentSubjectChar">
    <w:name w:val="Comment Subject Char"/>
    <w:basedOn w:val="CommentTextChar"/>
    <w:link w:val="CommentSubject"/>
    <w:uiPriority w:val="99"/>
    <w:semiHidden/>
    <w:rsid w:val="00FF79AC"/>
    <w:rPr>
      <w:b/>
      <w:bCs/>
      <w:sz w:val="20"/>
      <w:szCs w:val="20"/>
    </w:rPr>
  </w:style>
  <w:style w:type="paragraph" w:styleId="BodyText">
    <w:name w:val="Body Text"/>
    <w:basedOn w:val="Normal"/>
    <w:link w:val="BodyTextChar"/>
    <w:rsid w:val="00FD6AB9"/>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D6AB9"/>
    <w:rPr>
      <w:rFonts w:ascii="Arial" w:eastAsia="Times New Roman" w:hAnsi="Arial" w:cs="Times New Roman"/>
      <w:b/>
      <w:sz w:val="24"/>
      <w:szCs w:val="20"/>
    </w:rPr>
  </w:style>
  <w:style w:type="paragraph" w:styleId="Header">
    <w:name w:val="header"/>
    <w:basedOn w:val="Normal"/>
    <w:link w:val="HeaderChar"/>
    <w:uiPriority w:val="99"/>
    <w:unhideWhenUsed/>
    <w:rsid w:val="00FD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B9"/>
    <w:rPr>
      <w:sz w:val="28"/>
    </w:rPr>
  </w:style>
  <w:style w:type="paragraph" w:styleId="Footer">
    <w:name w:val="footer"/>
    <w:basedOn w:val="Normal"/>
    <w:link w:val="FooterChar"/>
    <w:uiPriority w:val="99"/>
    <w:unhideWhenUsed/>
    <w:rsid w:val="00FD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B9"/>
    <w:rPr>
      <w:sz w:val="28"/>
    </w:rPr>
  </w:style>
  <w:style w:type="table" w:styleId="GridTable1Light">
    <w:name w:val="Grid Table 1 Light"/>
    <w:basedOn w:val="TableNormal"/>
    <w:uiPriority w:val="46"/>
    <w:rsid w:val="007A3A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973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733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315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315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15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4695">
      <w:bodyDiv w:val="1"/>
      <w:marLeft w:val="0"/>
      <w:marRight w:val="0"/>
      <w:marTop w:val="0"/>
      <w:marBottom w:val="0"/>
      <w:divBdr>
        <w:top w:val="none" w:sz="0" w:space="0" w:color="auto"/>
        <w:left w:val="none" w:sz="0" w:space="0" w:color="auto"/>
        <w:bottom w:val="none" w:sz="0" w:space="0" w:color="auto"/>
        <w:right w:val="none" w:sz="0" w:space="0" w:color="auto"/>
      </w:divBdr>
    </w:div>
    <w:div w:id="2503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8FA9A839CBC8409C82003494E68B27" ma:contentTypeVersion="12" ma:contentTypeDescription="Create a new document." ma:contentTypeScope="" ma:versionID="1377b1642c68763de8ad7758b8f50586">
  <xsd:schema xmlns:xsd="http://www.w3.org/2001/XMLSchema" xmlns:xs="http://www.w3.org/2001/XMLSchema" xmlns:p="http://schemas.microsoft.com/office/2006/metadata/properties" xmlns:ns2="736e3107-1944-48d9-be49-4f05d392243c" xmlns:ns3="742e5f4c-0ca0-4b6f-91a6-fc84b1fc4d1f" targetNamespace="http://schemas.microsoft.com/office/2006/metadata/properties" ma:root="true" ma:fieldsID="947a1512fd75a768c568fd6643087733" ns2:_="" ns3:_="">
    <xsd:import namespace="736e3107-1944-48d9-be49-4f05d392243c"/>
    <xsd:import namespace="742e5f4c-0ca0-4b6f-91a6-fc84b1fc4d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e3107-1944-48d9-be49-4f05d392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e5f4c-0ca0-4b6f-91a6-fc84b1fc4d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FDB59-A258-45C3-84CB-53F1D0D52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e3107-1944-48d9-be49-4f05d392243c"/>
    <ds:schemaRef ds:uri="742e5f4c-0ca0-4b6f-91a6-fc84b1fc4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B81DA8-73F0-4F4E-9EA6-51C647F9A3A4}">
  <ds:schemaRefs>
    <ds:schemaRef ds:uri="http://schemas.microsoft.com/sharepoint/v3/contenttype/forms"/>
  </ds:schemaRefs>
</ds:datastoreItem>
</file>

<file path=customXml/itemProps3.xml><?xml version="1.0" encoding="utf-8"?>
<ds:datastoreItem xmlns:ds="http://schemas.openxmlformats.org/officeDocument/2006/customXml" ds:itemID="{EA54C39B-29CD-433A-9BE5-CD0C93AF7791}">
  <ds:schemaRefs>
    <ds:schemaRef ds:uri="http://www.w3.org/XML/1998/namespace"/>
    <ds:schemaRef ds:uri="736e3107-1944-48d9-be49-4f05d392243c"/>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742e5f4c-0ca0-4b6f-91a6-fc84b1fc4d1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1928</Words>
  <Characters>10990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Linda</dc:creator>
  <cp:keywords/>
  <dc:description/>
  <cp:lastModifiedBy>Carol A. Brown</cp:lastModifiedBy>
  <cp:revision>2</cp:revision>
  <cp:lastPrinted>2020-07-17T13:32:00Z</cp:lastPrinted>
  <dcterms:created xsi:type="dcterms:W3CDTF">2020-08-31T20:54:00Z</dcterms:created>
  <dcterms:modified xsi:type="dcterms:W3CDTF">2020-08-31T20:54:00Z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0x010100618FA9A839CBC8409C82003494E68B27</vt:lpwstr>
  </property>
</Properties>
</file>